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Default="000B4120" w:rsidP="008D7B0B">
      <w:pPr>
        <w:jc w:val="center"/>
        <w:rPr>
          <w:b/>
          <w:sz w:val="28"/>
          <w:szCs w:val="28"/>
          <w:u w:val="single"/>
        </w:rPr>
      </w:pPr>
      <w:bookmarkStart w:id="0" w:name="_GoBack"/>
      <w:bookmarkEnd w:id="0"/>
      <w:r>
        <w:rPr>
          <w:b/>
          <w:sz w:val="28"/>
          <w:szCs w:val="28"/>
          <w:u w:val="single"/>
        </w:rPr>
        <w:t xml:space="preserve"> </w:t>
      </w:r>
      <w:proofErr w:type="gramStart"/>
      <w:r w:rsidR="00692BAF">
        <w:rPr>
          <w:b/>
          <w:sz w:val="28"/>
          <w:szCs w:val="28"/>
          <w:u w:val="single"/>
        </w:rPr>
        <w:t>AUSVELS :</w:t>
      </w:r>
      <w:r>
        <w:rPr>
          <w:b/>
          <w:sz w:val="28"/>
          <w:szCs w:val="28"/>
          <w:u w:val="single"/>
        </w:rPr>
        <w:t>Australian</w:t>
      </w:r>
      <w:proofErr w:type="gramEnd"/>
      <w:r>
        <w:rPr>
          <w:b/>
          <w:sz w:val="28"/>
          <w:szCs w:val="28"/>
          <w:u w:val="single"/>
        </w:rPr>
        <w:t xml:space="preserve"> MATHEMATICS </w:t>
      </w:r>
      <w:r w:rsidR="003753E1" w:rsidRPr="003753E1">
        <w:rPr>
          <w:b/>
          <w:sz w:val="28"/>
          <w:szCs w:val="28"/>
          <w:u w:val="single"/>
        </w:rPr>
        <w:t>Curriculum, F-10:</w:t>
      </w:r>
    </w:p>
    <w:p w:rsidR="001C2682" w:rsidRPr="003753E1" w:rsidRDefault="001C2682" w:rsidP="008D7B0B">
      <w:pPr>
        <w:jc w:val="center"/>
        <w:rPr>
          <w:b/>
          <w:sz w:val="28"/>
          <w:szCs w:val="28"/>
          <w:u w:val="single"/>
        </w:rPr>
      </w:pPr>
    </w:p>
    <w:p w:rsidR="003753E1" w:rsidRDefault="00FD40CF" w:rsidP="001C2682">
      <w:pPr>
        <w:jc w:val="center"/>
        <w:rPr>
          <w:b/>
          <w:sz w:val="28"/>
          <w:szCs w:val="28"/>
        </w:rPr>
      </w:pPr>
      <w:r>
        <w:rPr>
          <w:b/>
          <w:sz w:val="28"/>
          <w:szCs w:val="28"/>
        </w:rPr>
        <w:t>Proficiency Strands: Understanding, Fluency, Problem Solving and Reasoning</w:t>
      </w:r>
    </w:p>
    <w:p w:rsidR="00D70BE3" w:rsidRPr="00FC23B6" w:rsidRDefault="00FD40CF" w:rsidP="00FC23B6">
      <w:pPr>
        <w:jc w:val="center"/>
        <w:rPr>
          <w:color w:val="0000FF"/>
          <w:sz w:val="28"/>
          <w:szCs w:val="28"/>
        </w:rPr>
      </w:pPr>
      <w:r>
        <w:rPr>
          <w:b/>
          <w:sz w:val="28"/>
          <w:szCs w:val="28"/>
        </w:rPr>
        <w:t>Content Strands: Number &amp; Algebra, Measurement &amp; Geometry, Statistics &amp; Probability</w:t>
      </w:r>
    </w:p>
    <w:p w:rsidR="00D70BE3" w:rsidRDefault="00D70BE3">
      <w:pPr>
        <w:rPr>
          <w:sz w:val="28"/>
          <w:szCs w:val="28"/>
        </w:rPr>
      </w:pPr>
    </w:p>
    <w:p w:rsidR="003753E1" w:rsidRPr="00564A3D" w:rsidRDefault="00564A3D" w:rsidP="003753E1">
      <w:pPr>
        <w:jc w:val="center"/>
        <w:rPr>
          <w:b/>
          <w:sz w:val="36"/>
          <w:szCs w:val="36"/>
        </w:rPr>
      </w:pPr>
      <w:r w:rsidRPr="00564A3D">
        <w:rPr>
          <w:b/>
          <w:sz w:val="36"/>
          <w:szCs w:val="36"/>
        </w:rPr>
        <w:t xml:space="preserve">For </w:t>
      </w:r>
      <w:r w:rsidR="00692BAF">
        <w:rPr>
          <w:b/>
          <w:sz w:val="36"/>
          <w:szCs w:val="36"/>
        </w:rPr>
        <w:t>Level</w:t>
      </w:r>
      <w:r w:rsidR="00C92842" w:rsidRPr="004A1C86">
        <w:rPr>
          <w:b/>
          <w:sz w:val="36"/>
          <w:szCs w:val="36"/>
          <w:u w:val="single"/>
        </w:rPr>
        <w:t>10</w:t>
      </w:r>
      <w:r w:rsidR="00000CD3" w:rsidRPr="004A1C86">
        <w:rPr>
          <w:b/>
          <w:sz w:val="36"/>
          <w:szCs w:val="36"/>
          <w:u w:val="single"/>
        </w:rPr>
        <w:t xml:space="preserve"> A</w:t>
      </w:r>
      <w:r w:rsidR="00FD40CF" w:rsidRPr="00564A3D">
        <w:rPr>
          <w:b/>
          <w:sz w:val="36"/>
          <w:szCs w:val="36"/>
        </w:rPr>
        <w:t xml:space="preserve"> </w:t>
      </w:r>
      <w:proofErr w:type="spellStart"/>
      <w:r w:rsidR="00FD40CF" w:rsidRPr="00564A3D">
        <w:rPr>
          <w:b/>
          <w:sz w:val="36"/>
          <w:szCs w:val="36"/>
        </w:rPr>
        <w:t>Maths</w:t>
      </w:r>
      <w:proofErr w:type="spellEnd"/>
      <w:r w:rsidR="003E5BA0" w:rsidRPr="00564A3D">
        <w:rPr>
          <w:b/>
          <w:sz w:val="36"/>
          <w:szCs w:val="36"/>
        </w:rPr>
        <w:t xml:space="preserve"> Students</w:t>
      </w:r>
      <w:r w:rsidR="003753E1" w:rsidRPr="00564A3D">
        <w:rPr>
          <w:b/>
          <w:sz w:val="36"/>
          <w:szCs w:val="36"/>
        </w:rPr>
        <w:t>:</w:t>
      </w:r>
    </w:p>
    <w:p w:rsidR="004A1C86" w:rsidRPr="003038A5" w:rsidRDefault="004A1C86" w:rsidP="004A1C86">
      <w:pPr>
        <w:pStyle w:val="ListParagraph"/>
        <w:numPr>
          <w:ilvl w:val="0"/>
          <w:numId w:val="1"/>
        </w:numPr>
        <w:rPr>
          <w:color w:val="FF0000"/>
          <w:sz w:val="28"/>
          <w:szCs w:val="28"/>
        </w:rPr>
      </w:pPr>
      <w:r>
        <w:rPr>
          <w:b/>
          <w:color w:val="FF0000"/>
          <w:sz w:val="28"/>
          <w:szCs w:val="28"/>
        </w:rPr>
        <w:t xml:space="preserve">The 10A content is optional and </w:t>
      </w:r>
      <w:r w:rsidRPr="004A1C86">
        <w:rPr>
          <w:b/>
          <w:color w:val="FF0000"/>
          <w:sz w:val="28"/>
          <w:szCs w:val="28"/>
          <w:u w:val="single"/>
        </w:rPr>
        <w:t>is intended for students who require more content to enrich their mathematical study whilst completing the common Year 10</w:t>
      </w:r>
      <w:r w:rsidR="00ED6C75">
        <w:rPr>
          <w:b/>
          <w:color w:val="FF0000"/>
          <w:sz w:val="28"/>
          <w:szCs w:val="28"/>
          <w:u w:val="single"/>
        </w:rPr>
        <w:t xml:space="preserve"> </w:t>
      </w:r>
      <w:r w:rsidRPr="004A1C86">
        <w:rPr>
          <w:b/>
          <w:color w:val="FF0000"/>
          <w:sz w:val="28"/>
          <w:szCs w:val="28"/>
          <w:u w:val="single"/>
        </w:rPr>
        <w:t>content.</w:t>
      </w:r>
      <w:r>
        <w:rPr>
          <w:b/>
          <w:color w:val="FF0000"/>
          <w:sz w:val="28"/>
          <w:szCs w:val="28"/>
        </w:rPr>
        <w:t xml:space="preserve"> It is NOT anticipated that all students will attempt the 10A content, but doing so would be advantageous for students intending to pursue Mathematical Methods or Specialist Mathematics in the senior secondary years. A selection of topics from the 10A curriculum can be completed according to the needs of students.</w:t>
      </w:r>
    </w:p>
    <w:p w:rsidR="00A45E99" w:rsidRDefault="00D70BE3" w:rsidP="00D70BE3">
      <w:pPr>
        <w:jc w:val="center"/>
        <w:rPr>
          <w:sz w:val="22"/>
          <w:szCs w:val="22"/>
        </w:rPr>
      </w:pPr>
      <w:r w:rsidRPr="00CD2807">
        <w:rPr>
          <w:sz w:val="22"/>
          <w:szCs w:val="22"/>
        </w:rPr>
        <w:t xml:space="preserve">*This document intends to assist </w:t>
      </w:r>
      <w:r w:rsidR="003902C6">
        <w:rPr>
          <w:sz w:val="22"/>
          <w:szCs w:val="22"/>
        </w:rPr>
        <w:t>teachers in their understanding</w:t>
      </w:r>
      <w:r w:rsidRPr="00CD2807">
        <w:rPr>
          <w:sz w:val="22"/>
          <w:szCs w:val="22"/>
        </w:rPr>
        <w:t xml:space="preserve"> of the Australian curricu</w:t>
      </w:r>
      <w:r w:rsidR="0078213C">
        <w:rPr>
          <w:sz w:val="22"/>
          <w:szCs w:val="22"/>
        </w:rPr>
        <w:t>lum</w:t>
      </w:r>
      <w:r w:rsidR="006A2F1E">
        <w:rPr>
          <w:sz w:val="22"/>
          <w:szCs w:val="22"/>
        </w:rPr>
        <w:t xml:space="preserve"> through </w:t>
      </w:r>
      <w:proofErr w:type="spellStart"/>
      <w:r w:rsidR="006A2F1E">
        <w:rPr>
          <w:sz w:val="22"/>
          <w:szCs w:val="22"/>
        </w:rPr>
        <w:t>AusVELS</w:t>
      </w:r>
      <w:proofErr w:type="spellEnd"/>
      <w:r w:rsidR="006A2F1E">
        <w:rPr>
          <w:sz w:val="22"/>
          <w:szCs w:val="22"/>
        </w:rPr>
        <w:t xml:space="preserve"> –</w:t>
      </w:r>
      <w:r w:rsidRPr="00CD2807">
        <w:rPr>
          <w:sz w:val="22"/>
          <w:szCs w:val="22"/>
        </w:rPr>
        <w:t xml:space="preserve"> </w:t>
      </w:r>
      <w:r>
        <w:rPr>
          <w:sz w:val="22"/>
          <w:szCs w:val="22"/>
        </w:rPr>
        <w:t xml:space="preserve">it combines description and </w:t>
      </w:r>
      <w:r w:rsidRPr="006A2F1E">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Pr>
          <w:sz w:val="22"/>
          <w:szCs w:val="22"/>
        </w:rPr>
        <w:t xml:space="preserve">further detail </w:t>
      </w:r>
      <w:r w:rsidR="00FF69F2">
        <w:rPr>
          <w:sz w:val="22"/>
          <w:szCs w:val="22"/>
        </w:rPr>
        <w:t xml:space="preserve">for </w:t>
      </w:r>
      <w:proofErr w:type="gramStart"/>
      <w:r w:rsidR="00FF69F2">
        <w:rPr>
          <w:sz w:val="22"/>
          <w:szCs w:val="22"/>
        </w:rPr>
        <w:t>themselves</w:t>
      </w:r>
      <w:proofErr w:type="gramEnd"/>
      <w:r w:rsidR="00FF69F2">
        <w:rPr>
          <w:sz w:val="22"/>
          <w:szCs w:val="22"/>
        </w:rPr>
        <w:t>.</w:t>
      </w:r>
      <w:r w:rsidR="006A2F1E">
        <w:rPr>
          <w:sz w:val="22"/>
          <w:szCs w:val="22"/>
        </w:rPr>
        <w:t xml:space="preserve">  ‘</w:t>
      </w:r>
      <w:proofErr w:type="spellStart"/>
      <w:r w:rsidR="006A2F1E">
        <w:rPr>
          <w:sz w:val="22"/>
          <w:szCs w:val="22"/>
        </w:rPr>
        <w:t>AusVELS</w:t>
      </w:r>
      <w:proofErr w:type="spellEnd"/>
      <w:r w:rsidR="006A2F1E">
        <w:rPr>
          <w:sz w:val="22"/>
          <w:szCs w:val="22"/>
        </w:rPr>
        <w:t>’ is</w:t>
      </w:r>
      <w:r w:rsidRPr="00CD2807">
        <w:rPr>
          <w:sz w:val="22"/>
          <w:szCs w:val="22"/>
        </w:rPr>
        <w:t xml:space="preserve"> the official docu</w:t>
      </w:r>
      <w:r>
        <w:rPr>
          <w:sz w:val="22"/>
          <w:szCs w:val="22"/>
        </w:rPr>
        <w:t>mentation for Victorian school</w:t>
      </w:r>
      <w:r w:rsidR="002E1596">
        <w:rPr>
          <w:sz w:val="22"/>
          <w:szCs w:val="22"/>
        </w:rPr>
        <w:t>s</w:t>
      </w:r>
      <w:r w:rsidR="006A2F1E">
        <w:rPr>
          <w:sz w:val="22"/>
          <w:szCs w:val="22"/>
        </w:rPr>
        <w:t>.</w:t>
      </w:r>
    </w:p>
    <w:p w:rsidR="00C40806" w:rsidRPr="00D70BE3" w:rsidRDefault="00C40806" w:rsidP="00FC23B6">
      <w:pPr>
        <w:rPr>
          <w:sz w:val="22"/>
          <w:szCs w:val="22"/>
        </w:rPr>
      </w:pPr>
    </w:p>
    <w:tbl>
      <w:tblPr>
        <w:tblStyle w:val="TableGrid"/>
        <w:tblW w:w="0" w:type="auto"/>
        <w:tblInd w:w="468" w:type="dxa"/>
        <w:tblCellMar>
          <w:left w:w="115" w:type="dxa"/>
          <w:right w:w="115" w:type="dxa"/>
        </w:tblCellMar>
        <w:tblLook w:val="04A0" w:firstRow="1" w:lastRow="0" w:firstColumn="1" w:lastColumn="0" w:noHBand="0" w:noVBand="1"/>
      </w:tblPr>
      <w:tblGrid>
        <w:gridCol w:w="5040"/>
        <w:gridCol w:w="5130"/>
        <w:gridCol w:w="5130"/>
      </w:tblGrid>
      <w:tr w:rsidR="000B166B" w:rsidTr="002E1596">
        <w:tc>
          <w:tcPr>
            <w:tcW w:w="5040" w:type="dxa"/>
            <w:shd w:val="clear" w:color="auto" w:fill="E0FFEC"/>
          </w:tcPr>
          <w:p w:rsidR="00A45E99" w:rsidRPr="00FC23B6" w:rsidRDefault="00461BBE" w:rsidP="00A45E99">
            <w:pPr>
              <w:rPr>
                <w:b/>
                <w:sz w:val="36"/>
                <w:szCs w:val="36"/>
              </w:rPr>
            </w:pPr>
            <w:r w:rsidRPr="00FC23B6">
              <w:rPr>
                <w:b/>
                <w:sz w:val="36"/>
                <w:szCs w:val="36"/>
              </w:rPr>
              <w:t>Number &amp; Algebra</w:t>
            </w:r>
            <w:r w:rsidR="00A45E99" w:rsidRPr="00FC23B6">
              <w:rPr>
                <w:b/>
                <w:sz w:val="36"/>
                <w:szCs w:val="36"/>
              </w:rPr>
              <w:t>:</w:t>
            </w:r>
          </w:p>
        </w:tc>
        <w:tc>
          <w:tcPr>
            <w:tcW w:w="5130" w:type="dxa"/>
            <w:shd w:val="clear" w:color="auto" w:fill="CCFFFF"/>
          </w:tcPr>
          <w:p w:rsidR="00A45E99" w:rsidRPr="00FC23B6" w:rsidRDefault="00FD1908" w:rsidP="00A45E99">
            <w:pPr>
              <w:rPr>
                <w:b/>
                <w:sz w:val="36"/>
                <w:szCs w:val="36"/>
              </w:rPr>
            </w:pPr>
            <w:r w:rsidRPr="00FC23B6">
              <w:rPr>
                <w:b/>
                <w:sz w:val="36"/>
                <w:szCs w:val="36"/>
              </w:rPr>
              <w:t>Measurement &amp; Geometry</w:t>
            </w:r>
            <w:r w:rsidR="00DD4C34" w:rsidRPr="00FC23B6">
              <w:rPr>
                <w:b/>
                <w:sz w:val="36"/>
                <w:szCs w:val="36"/>
              </w:rPr>
              <w:t>:</w:t>
            </w:r>
          </w:p>
        </w:tc>
        <w:tc>
          <w:tcPr>
            <w:tcW w:w="5130" w:type="dxa"/>
            <w:shd w:val="clear" w:color="auto" w:fill="E3D8FF"/>
          </w:tcPr>
          <w:p w:rsidR="00A45E99" w:rsidRPr="00FC23B6" w:rsidRDefault="004A3C97" w:rsidP="00A45E99">
            <w:pPr>
              <w:rPr>
                <w:b/>
                <w:sz w:val="36"/>
                <w:szCs w:val="36"/>
              </w:rPr>
            </w:pPr>
            <w:r w:rsidRPr="00FC23B6">
              <w:rPr>
                <w:b/>
                <w:sz w:val="36"/>
                <w:szCs w:val="36"/>
              </w:rPr>
              <w:t>Statistics &amp; Probability</w:t>
            </w:r>
            <w:r w:rsidR="00572232" w:rsidRPr="00FC23B6">
              <w:rPr>
                <w:b/>
                <w:sz w:val="36"/>
                <w:szCs w:val="36"/>
              </w:rPr>
              <w:t>:</w:t>
            </w:r>
          </w:p>
        </w:tc>
      </w:tr>
      <w:tr w:rsidR="000B166B" w:rsidTr="001D5D19">
        <w:trPr>
          <w:trHeight w:val="13491"/>
        </w:trPr>
        <w:tc>
          <w:tcPr>
            <w:tcW w:w="5040" w:type="dxa"/>
            <w:shd w:val="clear" w:color="auto" w:fill="E0FFEC"/>
          </w:tcPr>
          <w:p w:rsidR="004A1C86" w:rsidRDefault="004A1C86" w:rsidP="008F7682">
            <w:pPr>
              <w:rPr>
                <w:b/>
                <w:sz w:val="32"/>
                <w:szCs w:val="32"/>
              </w:rPr>
            </w:pPr>
            <w:r w:rsidRPr="00FC23B6">
              <w:rPr>
                <w:b/>
                <w:sz w:val="32"/>
                <w:szCs w:val="32"/>
              </w:rPr>
              <w:t>Real numbers:</w:t>
            </w:r>
          </w:p>
          <w:p w:rsidR="003871D4" w:rsidRDefault="003871D4" w:rsidP="008F7682">
            <w:pPr>
              <w:rPr>
                <w:rFonts w:ascii="Helvetica" w:hAnsi="Helvetica" w:cs="Helvetica"/>
                <w:color w:val="000000"/>
                <w:sz w:val="18"/>
                <w:szCs w:val="18"/>
              </w:rPr>
            </w:pPr>
            <w:r>
              <w:rPr>
                <w:rFonts w:ascii="Helvetica" w:hAnsi="Helvetica" w:cs="Helvetica"/>
                <w:color w:val="000000"/>
                <w:sz w:val="18"/>
                <w:szCs w:val="18"/>
              </w:rPr>
              <w:t>Define rational and irrational numbers and perform operations with surds and fractional indices (ACMNA264)</w:t>
            </w:r>
          </w:p>
          <w:p w:rsidR="003871D4" w:rsidRPr="00870318" w:rsidRDefault="003871D4" w:rsidP="00387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70318">
              <w:rPr>
                <w:rFonts w:ascii="Helvetica" w:hAnsi="Helvetica" w:cs="Helvetica"/>
                <w:color w:val="0000FF"/>
                <w:sz w:val="18"/>
                <w:szCs w:val="18"/>
              </w:rPr>
              <w:t>understanding that the real number system includes irrational numbers and that certain subsets of the real number system have particular properties</w:t>
            </w:r>
          </w:p>
          <w:p w:rsidR="003871D4" w:rsidRPr="00870318" w:rsidRDefault="003871D4" w:rsidP="00387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70318">
              <w:rPr>
                <w:rFonts w:ascii="Helvetica" w:hAnsi="Helvetica" w:cs="Helvetica"/>
                <w:color w:val="0000FF"/>
                <w:sz w:val="18"/>
                <w:szCs w:val="18"/>
              </w:rPr>
              <w:t>applying the index laws to numeric and algebraic expressions and evaluating or simplifying them as required</w:t>
            </w:r>
          </w:p>
          <w:p w:rsidR="003871D4" w:rsidRDefault="003871D4" w:rsidP="003871D4">
            <w:pPr>
              <w:rPr>
                <w:rFonts w:ascii="Helvetica" w:hAnsi="Helvetica" w:cs="Helvetica"/>
                <w:color w:val="000000"/>
                <w:sz w:val="18"/>
                <w:szCs w:val="18"/>
              </w:rPr>
            </w:pPr>
            <w:r>
              <w:rPr>
                <w:rFonts w:ascii="Helvetica" w:hAnsi="Helvetica" w:cs="Helvetica"/>
                <w:color w:val="000000"/>
                <w:sz w:val="18"/>
                <w:szCs w:val="18"/>
              </w:rPr>
              <w:t>Use the definition of a logarithm to establish and apply the laws of logarithms (ACMNA265)</w:t>
            </w:r>
          </w:p>
          <w:p w:rsidR="003871D4" w:rsidRPr="00870318" w:rsidRDefault="003871D4" w:rsidP="003871D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70318">
              <w:rPr>
                <w:rFonts w:ascii="Helvetica" w:hAnsi="Helvetica" w:cs="Helvetica"/>
                <w:color w:val="0000FF"/>
                <w:sz w:val="18"/>
                <w:szCs w:val="18"/>
              </w:rPr>
              <w:t>investigating the relationship between exponential and logarithmic expressions</w:t>
            </w:r>
          </w:p>
          <w:p w:rsidR="003871D4" w:rsidRPr="00870318" w:rsidRDefault="003871D4" w:rsidP="003871D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70318">
              <w:rPr>
                <w:rFonts w:ascii="Helvetica" w:hAnsi="Helvetica" w:cs="Helvetica"/>
                <w:color w:val="0000FF"/>
                <w:sz w:val="18"/>
                <w:szCs w:val="18"/>
              </w:rPr>
              <w:t>investigating the use of logarithmic scale</w:t>
            </w:r>
          </w:p>
          <w:p w:rsidR="006948CB" w:rsidRPr="00FC23B6" w:rsidRDefault="00B914F4" w:rsidP="006948CB">
            <w:pPr>
              <w:rPr>
                <w:b/>
                <w:sz w:val="32"/>
                <w:szCs w:val="32"/>
              </w:rPr>
            </w:pPr>
            <w:r w:rsidRPr="00FC23B6">
              <w:rPr>
                <w:b/>
                <w:sz w:val="32"/>
                <w:szCs w:val="32"/>
              </w:rPr>
              <w:t>Patterns &amp; algebra</w:t>
            </w:r>
            <w:r w:rsidR="006948CB" w:rsidRPr="00FC23B6">
              <w:rPr>
                <w:b/>
                <w:sz w:val="32"/>
                <w:szCs w:val="32"/>
              </w:rPr>
              <w:t>:</w:t>
            </w:r>
          </w:p>
          <w:p w:rsidR="007D7577" w:rsidRDefault="007D7577" w:rsidP="007D7577">
            <w:pPr>
              <w:rPr>
                <w:rFonts w:ascii="Helvetica" w:hAnsi="Helvetica" w:cs="Helvetica"/>
                <w:color w:val="000000"/>
                <w:sz w:val="18"/>
                <w:szCs w:val="18"/>
              </w:rPr>
            </w:pPr>
            <w:r>
              <w:rPr>
                <w:rFonts w:ascii="Helvetica" w:hAnsi="Helvetica" w:cs="Helvetica"/>
                <w:color w:val="000000"/>
                <w:sz w:val="18"/>
                <w:szCs w:val="18"/>
              </w:rPr>
              <w:t>Investigate the concept of a polynomial and apply the factor and remainder theorems to solve problems (ACMNA266)</w:t>
            </w:r>
          </w:p>
          <w:p w:rsidR="007D7577" w:rsidRPr="00870318" w:rsidRDefault="007D7577" w:rsidP="006C6B5E">
            <w:pPr>
              <w:pStyle w:val="ListParagraph"/>
              <w:numPr>
                <w:ilvl w:val="0"/>
                <w:numId w:val="15"/>
              </w:numPr>
              <w:rPr>
                <w:rFonts w:ascii="Helvetica" w:hAnsi="Helvetica" w:cs="Helvetica"/>
                <w:color w:val="0000FF"/>
                <w:sz w:val="18"/>
                <w:szCs w:val="18"/>
              </w:rPr>
            </w:pPr>
            <w:r w:rsidRPr="00870318">
              <w:rPr>
                <w:rFonts w:ascii="Helvetica" w:hAnsi="Helvetica" w:cs="Helvetica"/>
                <w:color w:val="0000FF"/>
                <w:sz w:val="18"/>
                <w:szCs w:val="18"/>
              </w:rPr>
              <w:t>investigating the relationship between algebraic long division and the factor and remainder theorems</w:t>
            </w:r>
          </w:p>
          <w:p w:rsidR="00B914F4" w:rsidRPr="00FC23B6" w:rsidRDefault="00B914F4" w:rsidP="00B914F4">
            <w:pPr>
              <w:rPr>
                <w:b/>
                <w:sz w:val="32"/>
                <w:szCs w:val="32"/>
              </w:rPr>
            </w:pPr>
            <w:r w:rsidRPr="00FC23B6">
              <w:rPr>
                <w:b/>
                <w:sz w:val="32"/>
                <w:szCs w:val="32"/>
              </w:rPr>
              <w:t>Linear &amp; non-linear relationships:</w:t>
            </w:r>
          </w:p>
          <w:p w:rsidR="00A41A3D" w:rsidRDefault="006A644D" w:rsidP="006A644D">
            <w:pPr>
              <w:rPr>
                <w:rFonts w:ascii="Helvetica" w:hAnsi="Helvetica" w:cs="Helvetica"/>
                <w:color w:val="000000"/>
                <w:sz w:val="18"/>
                <w:szCs w:val="18"/>
              </w:rPr>
            </w:pPr>
            <w:r>
              <w:rPr>
                <w:rFonts w:ascii="Helvetica" w:hAnsi="Helvetica" w:cs="Helvetica"/>
                <w:color w:val="000000"/>
                <w:sz w:val="18"/>
                <w:szCs w:val="18"/>
              </w:rPr>
              <w:t>Solve simple exponential equations (ACMNA270)</w:t>
            </w:r>
          </w:p>
          <w:p w:rsidR="006A644D" w:rsidRPr="00870318" w:rsidRDefault="006A644D" w:rsidP="006A644D">
            <w:pPr>
              <w:pStyle w:val="ListParagraph"/>
              <w:numPr>
                <w:ilvl w:val="0"/>
                <w:numId w:val="15"/>
              </w:numPr>
              <w:rPr>
                <w:rFonts w:ascii="Helvetica" w:hAnsi="Helvetica" w:cs="Helvetica"/>
                <w:color w:val="0000FF"/>
                <w:sz w:val="18"/>
                <w:szCs w:val="18"/>
              </w:rPr>
            </w:pPr>
            <w:r w:rsidRPr="00870318">
              <w:rPr>
                <w:rFonts w:ascii="Helvetica" w:hAnsi="Helvetica" w:cs="Helvetica"/>
                <w:color w:val="0000FF"/>
                <w:sz w:val="18"/>
                <w:szCs w:val="18"/>
              </w:rPr>
              <w:t>investigating exponential equations derived from authentic mathematical models based on population growth</w:t>
            </w:r>
          </w:p>
          <w:p w:rsidR="006A644D" w:rsidRDefault="006A644D" w:rsidP="006A644D">
            <w:pPr>
              <w:rPr>
                <w:rFonts w:ascii="Helvetica" w:hAnsi="Helvetica" w:cs="Helvetica"/>
                <w:color w:val="000000"/>
                <w:sz w:val="18"/>
                <w:szCs w:val="18"/>
              </w:rPr>
            </w:pPr>
            <w:r>
              <w:rPr>
                <w:rFonts w:ascii="Helvetica" w:hAnsi="Helvetica" w:cs="Helvetica"/>
                <w:color w:val="000000"/>
                <w:sz w:val="18"/>
                <w:szCs w:val="18"/>
              </w:rPr>
              <w:t>Describe, interpret and sketch parabolas, hyperbolas, circles and exponential functions and their transformations (ACMNA267)</w:t>
            </w:r>
          </w:p>
          <w:p w:rsidR="006A644D" w:rsidRPr="00870318" w:rsidRDefault="006A644D" w:rsidP="006A644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70318">
              <w:rPr>
                <w:rFonts w:ascii="Helvetica" w:hAnsi="Helvetica" w:cs="Helvetica"/>
                <w:color w:val="0000FF"/>
                <w:sz w:val="18"/>
                <w:szCs w:val="18"/>
              </w:rPr>
              <w:t>using a range of strategies to investigate the effect of multiplying by a constant term, including negative numbers</w:t>
            </w:r>
          </w:p>
          <w:p w:rsidR="006A644D" w:rsidRPr="00870318" w:rsidRDefault="006A644D" w:rsidP="006A644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70318">
              <w:rPr>
                <w:rFonts w:ascii="Helvetica" w:hAnsi="Helvetica" w:cs="Helvetica"/>
                <w:color w:val="0000FF"/>
                <w:sz w:val="18"/>
                <w:szCs w:val="18"/>
              </w:rPr>
              <w:t>connecting the graphical and algebraic representations and describing the transformation</w:t>
            </w:r>
          </w:p>
          <w:p w:rsidR="006A644D" w:rsidRDefault="006A644D" w:rsidP="006A644D">
            <w:pPr>
              <w:rPr>
                <w:rFonts w:ascii="Helvetica" w:hAnsi="Helvetica" w:cs="Helvetica"/>
                <w:color w:val="000000"/>
                <w:sz w:val="18"/>
                <w:szCs w:val="18"/>
              </w:rPr>
            </w:pPr>
            <w:r>
              <w:rPr>
                <w:rFonts w:ascii="Helvetica" w:hAnsi="Helvetica" w:cs="Helvetica"/>
                <w:color w:val="000000"/>
                <w:sz w:val="18"/>
                <w:szCs w:val="18"/>
              </w:rPr>
              <w:t>Apply understanding of polynomials to sketch a range of curves and describe the features of these curves from their equation (ACMNA268)</w:t>
            </w:r>
          </w:p>
          <w:p w:rsidR="006A644D" w:rsidRPr="00870318" w:rsidRDefault="006A644D" w:rsidP="006A644D">
            <w:pPr>
              <w:pStyle w:val="ListParagraph"/>
              <w:numPr>
                <w:ilvl w:val="0"/>
                <w:numId w:val="16"/>
              </w:numPr>
              <w:rPr>
                <w:rFonts w:ascii="Helvetica" w:hAnsi="Helvetica" w:cs="Helvetica"/>
                <w:color w:val="0000FF"/>
                <w:sz w:val="18"/>
                <w:szCs w:val="18"/>
              </w:rPr>
            </w:pPr>
            <w:r w:rsidRPr="00870318">
              <w:rPr>
                <w:rFonts w:ascii="Helvetica" w:hAnsi="Helvetica" w:cs="Helvetica"/>
                <w:color w:val="0000FF"/>
                <w:sz w:val="18"/>
                <w:szCs w:val="18"/>
              </w:rPr>
              <w:t>investigating the features of graphs of polynomials using digital technology</w:t>
            </w:r>
          </w:p>
          <w:p w:rsidR="006A644D" w:rsidRDefault="006A644D" w:rsidP="006A644D">
            <w:pPr>
              <w:rPr>
                <w:rFonts w:ascii="Helvetica" w:hAnsi="Helvetica" w:cs="Helvetica"/>
                <w:color w:val="000000"/>
                <w:sz w:val="18"/>
                <w:szCs w:val="18"/>
              </w:rPr>
            </w:pPr>
            <w:proofErr w:type="spellStart"/>
            <w:r>
              <w:rPr>
                <w:rFonts w:ascii="Helvetica" w:hAnsi="Helvetica" w:cs="Helvetica"/>
                <w:color w:val="000000"/>
                <w:sz w:val="18"/>
                <w:szCs w:val="18"/>
              </w:rPr>
              <w:t>Factorise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monic</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non­monic</w:t>
            </w:r>
            <w:proofErr w:type="spellEnd"/>
            <w:r>
              <w:rPr>
                <w:rFonts w:ascii="Helvetica" w:hAnsi="Helvetica" w:cs="Helvetica"/>
                <w:color w:val="000000"/>
                <w:sz w:val="18"/>
                <w:szCs w:val="18"/>
              </w:rPr>
              <w:t xml:space="preserve"> quadratic expressions and solve a wide range of quadratic equations derived from a variety of contexts (ACMNA269)</w:t>
            </w:r>
          </w:p>
          <w:p w:rsidR="006A644D" w:rsidRPr="00B623CD" w:rsidRDefault="006A644D" w:rsidP="007967E5">
            <w:pPr>
              <w:pStyle w:val="ListParagraph"/>
              <w:numPr>
                <w:ilvl w:val="0"/>
                <w:numId w:val="16"/>
              </w:numPr>
              <w:rPr>
                <w:color w:val="0000FF"/>
              </w:rPr>
            </w:pPr>
            <w:r w:rsidRPr="00870318">
              <w:rPr>
                <w:rFonts w:ascii="Helvetica" w:hAnsi="Helvetica" w:cs="Helvetica"/>
                <w:color w:val="0000FF"/>
                <w:sz w:val="18"/>
                <w:szCs w:val="18"/>
              </w:rPr>
              <w:t>developing fluency with algebraic techniques associated with quadratics to facilitate describing re</w:t>
            </w:r>
            <w:r w:rsidR="00B623CD">
              <w:rPr>
                <w:rFonts w:ascii="Helvetica" w:hAnsi="Helvetica" w:cs="Helvetica"/>
                <w:color w:val="0000FF"/>
                <w:sz w:val="18"/>
                <w:szCs w:val="18"/>
              </w:rPr>
              <w:t>lationships and solving problems</w:t>
            </w:r>
          </w:p>
        </w:tc>
        <w:tc>
          <w:tcPr>
            <w:tcW w:w="5130" w:type="dxa"/>
            <w:shd w:val="clear" w:color="auto" w:fill="CCFFFF"/>
          </w:tcPr>
          <w:p w:rsidR="00A45E99" w:rsidRDefault="00EB388A" w:rsidP="00A45E99">
            <w:pPr>
              <w:rPr>
                <w:b/>
                <w:sz w:val="32"/>
                <w:szCs w:val="32"/>
              </w:rPr>
            </w:pPr>
            <w:r w:rsidRPr="00FC23B6">
              <w:rPr>
                <w:b/>
                <w:sz w:val="32"/>
                <w:szCs w:val="32"/>
              </w:rPr>
              <w:t>Using units of measurement</w:t>
            </w:r>
            <w:r w:rsidR="00DD4C34" w:rsidRPr="00FC23B6">
              <w:rPr>
                <w:b/>
                <w:sz w:val="32"/>
                <w:szCs w:val="32"/>
              </w:rPr>
              <w:t>:</w:t>
            </w:r>
          </w:p>
          <w:p w:rsidR="00FF69F2" w:rsidRDefault="00FF69F2" w:rsidP="00A45E99">
            <w:pPr>
              <w:rPr>
                <w:rFonts w:ascii="Helvetica" w:hAnsi="Helvetica" w:cs="Helvetica"/>
                <w:color w:val="000000"/>
                <w:sz w:val="18"/>
                <w:szCs w:val="18"/>
              </w:rPr>
            </w:pPr>
            <w:r>
              <w:rPr>
                <w:rFonts w:ascii="Helvetica" w:hAnsi="Helvetica" w:cs="Helvetica"/>
                <w:color w:val="000000"/>
                <w:sz w:val="18"/>
                <w:szCs w:val="18"/>
              </w:rPr>
              <w:t>Solve problems involving surface area and volume of right pyramids, right cones, spheres and related composite solids (ACMMG271)</w:t>
            </w:r>
          </w:p>
          <w:p w:rsidR="00FF69F2" w:rsidRPr="00624157" w:rsidRDefault="00FF69F2" w:rsidP="00FF69F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24157">
              <w:rPr>
                <w:rFonts w:ascii="Helvetica" w:hAnsi="Helvetica" w:cs="Helvetica"/>
                <w:color w:val="0000FF"/>
                <w:sz w:val="18"/>
                <w:szCs w:val="18"/>
              </w:rPr>
              <w:t xml:space="preserve">using formulas to solve problems </w:t>
            </w:r>
            <w:r w:rsidRPr="00624157">
              <w:rPr>
                <w:rFonts w:ascii="Helvetica" w:hAnsi="Helvetica" w:cs="Helvetica"/>
                <w:color w:val="0000FF"/>
                <w:sz w:val="13"/>
                <w:szCs w:val="13"/>
              </w:rPr>
              <w:t xml:space="preserve">l </w:t>
            </w:r>
            <w:r w:rsidRPr="00624157">
              <w:rPr>
                <w:rFonts w:ascii="Helvetica" w:hAnsi="Helvetica" w:cs="Helvetica"/>
                <w:color w:val="0000FF"/>
                <w:sz w:val="18"/>
                <w:szCs w:val="18"/>
              </w:rPr>
              <w:t>using authentic situations to apply knowledge and</w:t>
            </w:r>
            <w:r w:rsidR="00624157" w:rsidRPr="00624157">
              <w:rPr>
                <w:rFonts w:ascii="Helvetica" w:hAnsi="Helvetica" w:cs="Helvetica"/>
                <w:color w:val="0000FF"/>
                <w:sz w:val="18"/>
                <w:szCs w:val="18"/>
              </w:rPr>
              <w:t xml:space="preserve"> </w:t>
            </w:r>
            <w:r w:rsidRPr="00624157">
              <w:rPr>
                <w:rFonts w:ascii="Helvetica" w:hAnsi="Helvetica" w:cs="Helvetica"/>
                <w:color w:val="0000FF"/>
                <w:sz w:val="18"/>
                <w:szCs w:val="18"/>
              </w:rPr>
              <w:t>understanding of surface area and volume</w:t>
            </w:r>
          </w:p>
          <w:p w:rsidR="005A21B9" w:rsidRDefault="005A21B9" w:rsidP="002E5222">
            <w:pPr>
              <w:rPr>
                <w:b/>
                <w:sz w:val="32"/>
                <w:szCs w:val="32"/>
              </w:rPr>
            </w:pPr>
            <w:r w:rsidRPr="00FC23B6">
              <w:rPr>
                <w:b/>
                <w:sz w:val="32"/>
                <w:szCs w:val="32"/>
              </w:rPr>
              <w:t>Geometric reasoning:</w:t>
            </w:r>
          </w:p>
          <w:p w:rsidR="00FF69F2" w:rsidRDefault="00FF69F2" w:rsidP="002E5222">
            <w:pPr>
              <w:rPr>
                <w:rFonts w:ascii="Helvetica" w:hAnsi="Helvetica" w:cs="Helvetica"/>
                <w:color w:val="000000"/>
                <w:sz w:val="18"/>
                <w:szCs w:val="18"/>
              </w:rPr>
            </w:pPr>
            <w:r>
              <w:rPr>
                <w:rFonts w:ascii="Helvetica" w:hAnsi="Helvetica" w:cs="Helvetica"/>
                <w:color w:val="000000"/>
                <w:sz w:val="18"/>
                <w:szCs w:val="18"/>
              </w:rPr>
              <w:t>Prove and apply angle and chord properties of circles (ACMMG272)</w:t>
            </w:r>
          </w:p>
          <w:p w:rsidR="00FF69F2" w:rsidRPr="00624157" w:rsidRDefault="00FF69F2" w:rsidP="00FF69F2">
            <w:pPr>
              <w:pStyle w:val="ListParagraph"/>
              <w:numPr>
                <w:ilvl w:val="0"/>
                <w:numId w:val="16"/>
              </w:numPr>
              <w:rPr>
                <w:b/>
                <w:color w:val="0000FF"/>
                <w:sz w:val="32"/>
                <w:szCs w:val="32"/>
              </w:rPr>
            </w:pPr>
            <w:r w:rsidRPr="00624157">
              <w:rPr>
                <w:rFonts w:ascii="Helvetica" w:hAnsi="Helvetica" w:cs="Helvetica"/>
                <w:color w:val="0000FF"/>
                <w:sz w:val="18"/>
                <w:szCs w:val="18"/>
              </w:rPr>
              <w:t>applying properties of circles to develop formal proofs</w:t>
            </w:r>
          </w:p>
          <w:p w:rsidR="004A3C97" w:rsidRPr="00FC23B6" w:rsidRDefault="002108AD" w:rsidP="002108AD">
            <w:pPr>
              <w:rPr>
                <w:b/>
                <w:sz w:val="28"/>
                <w:szCs w:val="28"/>
              </w:rPr>
            </w:pPr>
            <w:r w:rsidRPr="00FC23B6">
              <w:rPr>
                <w:b/>
                <w:sz w:val="28"/>
                <w:szCs w:val="28"/>
              </w:rPr>
              <w:t>Pythagoras and trigonometry:</w:t>
            </w:r>
          </w:p>
          <w:p w:rsidR="001801DB" w:rsidRDefault="00FF69F2" w:rsidP="00FF69F2">
            <w:pPr>
              <w:rPr>
                <w:rFonts w:ascii="Helvetica" w:hAnsi="Helvetica" w:cs="Helvetica"/>
                <w:color w:val="000000"/>
                <w:sz w:val="18"/>
                <w:szCs w:val="18"/>
              </w:rPr>
            </w:pPr>
            <w:r>
              <w:rPr>
                <w:rFonts w:ascii="Helvetica" w:hAnsi="Helvetica" w:cs="Helvetica"/>
                <w:color w:val="000000"/>
                <w:sz w:val="18"/>
                <w:szCs w:val="18"/>
              </w:rPr>
              <w:t>Establish the sine, cosine and area rules for any triangle and solve related problems (ACMMG273)</w:t>
            </w:r>
          </w:p>
          <w:p w:rsidR="00FF69F2" w:rsidRPr="00624157" w:rsidRDefault="00FF69F2" w:rsidP="007C6928">
            <w:pPr>
              <w:pStyle w:val="ListParagraph"/>
              <w:numPr>
                <w:ilvl w:val="0"/>
                <w:numId w:val="16"/>
              </w:numPr>
              <w:rPr>
                <w:rFonts w:ascii="Helvetica" w:hAnsi="Helvetica" w:cs="Helvetica"/>
                <w:color w:val="0000FF"/>
                <w:sz w:val="18"/>
                <w:szCs w:val="18"/>
              </w:rPr>
            </w:pPr>
            <w:r w:rsidRPr="00624157">
              <w:rPr>
                <w:rFonts w:ascii="Helvetica" w:hAnsi="Helvetica" w:cs="Helvetica"/>
                <w:color w:val="0000FF"/>
                <w:sz w:val="18"/>
                <w:szCs w:val="18"/>
              </w:rPr>
              <w:t>applying knowledge of sine, cosine and area rules to authentic problems such as those involving surveying and design</w:t>
            </w:r>
          </w:p>
          <w:p w:rsidR="00FF69F2" w:rsidRDefault="007C6928" w:rsidP="00FF69F2">
            <w:pPr>
              <w:rPr>
                <w:rFonts w:ascii="Helvetica" w:hAnsi="Helvetica" w:cs="Helvetica"/>
                <w:color w:val="000000"/>
                <w:sz w:val="18"/>
                <w:szCs w:val="18"/>
              </w:rPr>
            </w:pPr>
            <w:r>
              <w:rPr>
                <w:rFonts w:ascii="Helvetica" w:hAnsi="Helvetica" w:cs="Helvetica"/>
                <w:color w:val="000000"/>
                <w:sz w:val="18"/>
                <w:szCs w:val="18"/>
              </w:rPr>
              <w:t>Use the unit circle to define trigonometric functions, and graph them with and without the use of digital technologies (ACMMG274)</w:t>
            </w:r>
          </w:p>
          <w:p w:rsidR="007C6928" w:rsidRPr="00624157" w:rsidRDefault="007C6928" w:rsidP="007C692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24157">
              <w:rPr>
                <w:rFonts w:ascii="Helvetica" w:hAnsi="Helvetica" w:cs="Helvetica"/>
                <w:color w:val="0000FF"/>
                <w:sz w:val="18"/>
                <w:szCs w:val="18"/>
              </w:rPr>
              <w:t>establishing the symmetrical properties of trigonometric functions</w:t>
            </w:r>
          </w:p>
          <w:p w:rsidR="007C6928" w:rsidRPr="00624157" w:rsidRDefault="007C6928" w:rsidP="007C692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24157">
              <w:rPr>
                <w:rFonts w:ascii="Helvetica" w:hAnsi="Helvetica" w:cs="Helvetica"/>
                <w:color w:val="0000FF"/>
                <w:sz w:val="18"/>
                <w:szCs w:val="18"/>
              </w:rPr>
              <w:t>investigating angles of any magnitude</w:t>
            </w:r>
          </w:p>
          <w:p w:rsidR="007C6928" w:rsidRDefault="007C6928" w:rsidP="007C6928">
            <w:pPr>
              <w:rPr>
                <w:rFonts w:ascii="Helvetica" w:hAnsi="Helvetica" w:cs="Helvetica"/>
                <w:color w:val="000000"/>
                <w:sz w:val="18"/>
                <w:szCs w:val="18"/>
              </w:rPr>
            </w:pPr>
            <w:r>
              <w:rPr>
                <w:rFonts w:ascii="Helvetica" w:hAnsi="Helvetica" w:cs="Helvetica"/>
                <w:color w:val="000000"/>
                <w:sz w:val="18"/>
                <w:szCs w:val="18"/>
              </w:rPr>
              <w:t>Solve simple trigonometric equations (ACMMG275)</w:t>
            </w:r>
          </w:p>
          <w:p w:rsidR="007C6928" w:rsidRPr="00624157" w:rsidRDefault="007C6928" w:rsidP="007C692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24157">
              <w:rPr>
                <w:rFonts w:ascii="Helvetica" w:hAnsi="Helvetica" w:cs="Helvetica"/>
                <w:color w:val="0000FF"/>
                <w:sz w:val="18"/>
                <w:szCs w:val="18"/>
              </w:rPr>
              <w:t>understanding that trigonometric functions are periodic and that this can be used to describe motion</w:t>
            </w:r>
          </w:p>
          <w:p w:rsidR="007C6928" w:rsidRPr="00624157" w:rsidRDefault="007C6928" w:rsidP="007C692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24157">
              <w:rPr>
                <w:rFonts w:ascii="Helvetica" w:hAnsi="Helvetica" w:cs="Helvetica"/>
                <w:color w:val="0000FF"/>
                <w:sz w:val="18"/>
                <w:szCs w:val="18"/>
              </w:rPr>
              <w:t>using the notion of periodicity and symmetry to consider an infinite number of solutions</w:t>
            </w:r>
          </w:p>
          <w:p w:rsidR="007C6928" w:rsidRDefault="007C6928" w:rsidP="007C6928">
            <w:pPr>
              <w:rPr>
                <w:rFonts w:ascii="Helvetica" w:hAnsi="Helvetica" w:cs="Helvetica"/>
                <w:color w:val="000000"/>
                <w:sz w:val="18"/>
                <w:szCs w:val="18"/>
              </w:rPr>
            </w:pPr>
            <w:r>
              <w:rPr>
                <w:rFonts w:ascii="Helvetica" w:hAnsi="Helvetica" w:cs="Helvetica"/>
                <w:color w:val="000000"/>
                <w:sz w:val="18"/>
                <w:szCs w:val="18"/>
              </w:rPr>
              <w:t xml:space="preserve">Apply Pythagoras’ theorem and trigonometry to solving three­ dimensional problems in </w:t>
            </w:r>
            <w:proofErr w:type="spellStart"/>
            <w:r>
              <w:rPr>
                <w:rFonts w:ascii="Helvetica" w:hAnsi="Helvetica" w:cs="Helvetica"/>
                <w:color w:val="000000"/>
                <w:sz w:val="18"/>
                <w:szCs w:val="18"/>
              </w:rPr>
              <w:t>right­angled</w:t>
            </w:r>
            <w:proofErr w:type="spellEnd"/>
            <w:r>
              <w:rPr>
                <w:rFonts w:ascii="Helvetica" w:hAnsi="Helvetica" w:cs="Helvetica"/>
                <w:color w:val="000000"/>
                <w:sz w:val="18"/>
                <w:szCs w:val="18"/>
              </w:rPr>
              <w:t xml:space="preserve"> triangles (ACMMG276)</w:t>
            </w:r>
          </w:p>
          <w:p w:rsidR="007C6928" w:rsidRPr="00624157" w:rsidRDefault="007C6928" w:rsidP="007C6928">
            <w:pPr>
              <w:pStyle w:val="ListParagraph"/>
              <w:numPr>
                <w:ilvl w:val="0"/>
                <w:numId w:val="18"/>
              </w:numPr>
              <w:rPr>
                <w:b/>
                <w:color w:val="0000FF"/>
              </w:rPr>
            </w:pPr>
            <w:r w:rsidRPr="00624157">
              <w:rPr>
                <w:rFonts w:ascii="Helvetica" w:hAnsi="Helvetica" w:cs="Helvetica"/>
                <w:color w:val="0000FF"/>
                <w:sz w:val="18"/>
                <w:szCs w:val="18"/>
              </w:rPr>
              <w:t>investigating the applications of Pythagoras’s theorem in authentic problems</w:t>
            </w:r>
          </w:p>
          <w:p w:rsidR="007967E5" w:rsidRDefault="007967E5" w:rsidP="00411E7F">
            <w:pPr>
              <w:rPr>
                <w:b/>
              </w:rPr>
            </w:pPr>
          </w:p>
          <w:p w:rsidR="007967E5" w:rsidRPr="007967E5" w:rsidRDefault="007967E5" w:rsidP="007967E5"/>
          <w:p w:rsidR="007967E5" w:rsidRPr="007967E5" w:rsidRDefault="007967E5" w:rsidP="007967E5"/>
          <w:p w:rsidR="007967E5" w:rsidRPr="007967E5" w:rsidRDefault="007967E5" w:rsidP="007967E5"/>
          <w:p w:rsidR="007967E5" w:rsidRPr="007967E5" w:rsidRDefault="007967E5" w:rsidP="007967E5"/>
          <w:p w:rsidR="007967E5" w:rsidRPr="007967E5" w:rsidRDefault="007967E5" w:rsidP="007967E5"/>
          <w:p w:rsidR="007967E5" w:rsidRPr="007967E5" w:rsidRDefault="007967E5" w:rsidP="007967E5"/>
          <w:p w:rsidR="00411E7F" w:rsidRPr="007967E5" w:rsidRDefault="00411E7F" w:rsidP="007967E5"/>
        </w:tc>
        <w:tc>
          <w:tcPr>
            <w:tcW w:w="5130" w:type="dxa"/>
            <w:shd w:val="clear" w:color="auto" w:fill="E3D8FF"/>
          </w:tcPr>
          <w:p w:rsidR="00A45E99" w:rsidRDefault="004A3C97" w:rsidP="00A45E99">
            <w:pPr>
              <w:rPr>
                <w:b/>
                <w:sz w:val="32"/>
                <w:szCs w:val="32"/>
              </w:rPr>
            </w:pPr>
            <w:r w:rsidRPr="00FC23B6">
              <w:rPr>
                <w:b/>
                <w:sz w:val="32"/>
                <w:szCs w:val="32"/>
              </w:rPr>
              <w:t>Chance</w:t>
            </w:r>
            <w:r w:rsidR="00572232" w:rsidRPr="00FC23B6">
              <w:rPr>
                <w:b/>
                <w:sz w:val="32"/>
                <w:szCs w:val="32"/>
              </w:rPr>
              <w:t>:</w:t>
            </w:r>
          </w:p>
          <w:p w:rsidR="00411E7F" w:rsidRDefault="00411E7F" w:rsidP="00A45E99">
            <w:pPr>
              <w:rPr>
                <w:rFonts w:ascii="Helvetica" w:hAnsi="Helvetica" w:cs="Helvetica"/>
                <w:color w:val="000000"/>
                <w:sz w:val="18"/>
                <w:szCs w:val="18"/>
              </w:rPr>
            </w:pPr>
            <w:r>
              <w:rPr>
                <w:rFonts w:ascii="Helvetica" w:hAnsi="Helvetica" w:cs="Helvetica"/>
                <w:color w:val="000000"/>
                <w:sz w:val="18"/>
                <w:szCs w:val="18"/>
              </w:rPr>
              <w:t>Investigate reports of studies in digital media and elsewhere for information on the planning and implementation of such studies, and the reporting of variability (ACMSP277)</w:t>
            </w:r>
          </w:p>
          <w:p w:rsidR="00343CAF" w:rsidRPr="00343CAF" w:rsidRDefault="00411E7F" w:rsidP="00411E7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43CAF">
              <w:rPr>
                <w:rFonts w:ascii="Helvetica" w:hAnsi="Helvetica" w:cs="Helvetica"/>
                <w:color w:val="0000FF"/>
                <w:sz w:val="18"/>
                <w:szCs w:val="18"/>
              </w:rPr>
              <w:t>evaluating media reports that refer to data from a range of contexts</w:t>
            </w:r>
          </w:p>
          <w:p w:rsidR="00343CAF" w:rsidRPr="00343CAF" w:rsidRDefault="00411E7F" w:rsidP="00411E7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43CAF">
              <w:rPr>
                <w:rFonts w:ascii="Helvetica" w:hAnsi="Helvetica" w:cs="Helvetica"/>
                <w:color w:val="0000FF"/>
                <w:sz w:val="18"/>
                <w:szCs w:val="18"/>
              </w:rPr>
              <w:t>evaluating whether graphs in a report could mislead, and whether graphs and numerical information support the claims</w:t>
            </w:r>
          </w:p>
          <w:p w:rsidR="00411E7F" w:rsidRPr="00343CAF" w:rsidRDefault="00411E7F" w:rsidP="00411E7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43CAF">
              <w:rPr>
                <w:rFonts w:ascii="Helvetica" w:hAnsi="Helvetica" w:cs="Helvetica"/>
                <w:color w:val="0000FF"/>
                <w:sz w:val="18"/>
                <w:szCs w:val="18"/>
              </w:rPr>
              <w:t>evaluating the appropriateness of sampling methods and sample size in reports where statements about a population are based on a sample</w:t>
            </w:r>
          </w:p>
          <w:p w:rsidR="00572232" w:rsidRPr="00FC23B6" w:rsidRDefault="00536C91" w:rsidP="006842EC">
            <w:pPr>
              <w:rPr>
                <w:b/>
                <w:sz w:val="32"/>
                <w:szCs w:val="32"/>
              </w:rPr>
            </w:pPr>
            <w:r w:rsidRPr="00FC23B6">
              <w:rPr>
                <w:b/>
                <w:sz w:val="32"/>
                <w:szCs w:val="32"/>
              </w:rPr>
              <w:t>Data representation &amp; interpretation</w:t>
            </w:r>
            <w:r w:rsidR="00572232" w:rsidRPr="00FC23B6">
              <w:rPr>
                <w:b/>
                <w:sz w:val="32"/>
                <w:szCs w:val="32"/>
              </w:rPr>
              <w:t>:</w:t>
            </w:r>
          </w:p>
          <w:p w:rsidR="006842EC" w:rsidRDefault="00411E7F" w:rsidP="00411E7F">
            <w:pPr>
              <w:rPr>
                <w:rFonts w:ascii="Lucida Grande" w:hAnsi="Lucida Grande" w:cs="Lucida Grande"/>
                <w:b/>
                <w:color w:val="000000"/>
              </w:rPr>
            </w:pPr>
            <w:r>
              <w:rPr>
                <w:rFonts w:ascii="Helvetica" w:hAnsi="Helvetica" w:cs="Helvetica"/>
                <w:color w:val="000000"/>
                <w:sz w:val="18"/>
                <w:szCs w:val="18"/>
              </w:rPr>
              <w:t xml:space="preserve">Calculate and interpret the mean and standard deviation of data and use these to compare data sets (ACMSP278) </w:t>
            </w:r>
            <w:r w:rsidRPr="000819A2">
              <w:rPr>
                <w:rFonts w:ascii="Lucida Grande" w:hAnsi="Lucida Grande" w:cs="Lucida Grande"/>
                <w:b/>
                <w:color w:val="000000"/>
              </w:rPr>
              <w:t>ã</w:t>
            </w:r>
            <w:r>
              <w:rPr>
                <w:rFonts w:ascii="Lucida Grande" w:hAnsi="Lucida Grande" w:cs="Lucida Grande"/>
                <w:b/>
                <w:color w:val="000000"/>
              </w:rPr>
              <w:t xml:space="preserve"> </w:t>
            </w:r>
            <w:r>
              <w:rPr>
                <w:rFonts w:ascii="Helvetica" w:hAnsi="Helvetica" w:cs="Helvetica"/>
                <w:noProof/>
              </w:rPr>
              <w:drawing>
                <wp:inline distT="0" distB="0" distL="0" distR="0">
                  <wp:extent cx="165947" cy="1778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10" cy="177868"/>
                          </a:xfrm>
                          <a:prstGeom prst="rect">
                            <a:avLst/>
                          </a:prstGeom>
                          <a:noFill/>
                          <a:ln>
                            <a:noFill/>
                          </a:ln>
                        </pic:spPr>
                      </pic:pic>
                    </a:graphicData>
                  </a:graphic>
                </wp:inline>
              </w:drawing>
            </w:r>
          </w:p>
          <w:p w:rsidR="00411E7F" w:rsidRPr="00343CAF" w:rsidRDefault="00411E7F" w:rsidP="00411E7F">
            <w:pPr>
              <w:pStyle w:val="ListParagraph"/>
              <w:numPr>
                <w:ilvl w:val="0"/>
                <w:numId w:val="18"/>
              </w:numPr>
              <w:rPr>
                <w:rFonts w:ascii="Helvetica" w:hAnsi="Helvetica" w:cs="Helvetica"/>
                <w:color w:val="0000FF"/>
                <w:sz w:val="18"/>
                <w:szCs w:val="18"/>
              </w:rPr>
            </w:pPr>
            <w:r w:rsidRPr="00343CAF">
              <w:rPr>
                <w:rFonts w:ascii="Helvetica" w:hAnsi="Helvetica" w:cs="Helvetica"/>
                <w:color w:val="0000FF"/>
                <w:sz w:val="18"/>
                <w:szCs w:val="18"/>
              </w:rPr>
              <w:t>evaluating the appropriateness of sampling methods and sample size in reports where statements about a population are based on a sample</w:t>
            </w:r>
          </w:p>
          <w:p w:rsidR="00411E7F" w:rsidRDefault="00411E7F" w:rsidP="00411E7F">
            <w:pPr>
              <w:rPr>
                <w:rFonts w:ascii="Helvetica" w:hAnsi="Helvetica" w:cs="Helvetica"/>
                <w:color w:val="000000"/>
                <w:sz w:val="18"/>
                <w:szCs w:val="18"/>
              </w:rPr>
            </w:pPr>
            <w:r>
              <w:rPr>
                <w:rFonts w:ascii="Helvetica" w:hAnsi="Helvetica" w:cs="Helvetica"/>
                <w:color w:val="000000"/>
                <w:sz w:val="18"/>
                <w:szCs w:val="18"/>
              </w:rPr>
              <w:t>Use information technologies to investigate bivariate numerical data sets. Where appropriate use a straight line to describe the relationship allowing for variation (ACMSP279)</w:t>
            </w:r>
          </w:p>
          <w:p w:rsidR="007967E5" w:rsidRDefault="00411E7F" w:rsidP="00411E7F">
            <w:pPr>
              <w:pStyle w:val="ListParagraph"/>
              <w:numPr>
                <w:ilvl w:val="0"/>
                <w:numId w:val="18"/>
              </w:numPr>
              <w:rPr>
                <w:color w:val="0000FF"/>
                <w:sz w:val="28"/>
                <w:szCs w:val="28"/>
              </w:rPr>
            </w:pPr>
            <w:r w:rsidRPr="00343CAF">
              <w:rPr>
                <w:rFonts w:ascii="Helvetica" w:hAnsi="Helvetica" w:cs="Helvetica"/>
                <w:color w:val="0000FF"/>
                <w:sz w:val="18"/>
                <w:szCs w:val="18"/>
              </w:rPr>
              <w:t>investigating different techniques for finding a ‘line of best fit’</w:t>
            </w:r>
          </w:p>
          <w:p w:rsidR="007967E5" w:rsidRPr="007967E5" w:rsidRDefault="007967E5" w:rsidP="007967E5"/>
          <w:p w:rsidR="007967E5" w:rsidRPr="007967E5" w:rsidRDefault="007967E5" w:rsidP="007967E5"/>
          <w:p w:rsidR="007967E5" w:rsidRPr="007967E5" w:rsidRDefault="007967E5" w:rsidP="007967E5"/>
          <w:p w:rsidR="00411E7F" w:rsidRPr="007967E5" w:rsidRDefault="00411E7F" w:rsidP="007967E5"/>
        </w:tc>
      </w:tr>
    </w:tbl>
    <w:p w:rsidR="001D5D19" w:rsidRDefault="001D5D19" w:rsidP="00B623CD">
      <w:pPr>
        <w:jc w:val="center"/>
        <w:rPr>
          <w:sz w:val="28"/>
          <w:szCs w:val="28"/>
        </w:rPr>
      </w:pPr>
    </w:p>
    <w:p w:rsidR="00B623CD" w:rsidRDefault="00B623CD" w:rsidP="00B623CD">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p>
    <w:p w:rsidR="00B623CD" w:rsidRPr="003753E1" w:rsidRDefault="00B623CD" w:rsidP="00B623CD">
      <w:pPr>
        <w:jc w:val="center"/>
        <w:rPr>
          <w:sz w:val="28"/>
          <w:szCs w:val="28"/>
        </w:rPr>
      </w:pPr>
      <w:r>
        <w:rPr>
          <w:sz w:val="28"/>
          <w:szCs w:val="28"/>
        </w:rPr>
        <w:t>This grid is an adaption of the information from the VCAA site to create a visual representation to assist teachers.</w:t>
      </w:r>
    </w:p>
    <w:p w:rsidR="00B623CD" w:rsidRPr="001268B1" w:rsidRDefault="001268B1" w:rsidP="001268B1">
      <w:pPr>
        <w:jc w:val="center"/>
        <w:rPr>
          <w:sz w:val="32"/>
          <w:szCs w:val="32"/>
        </w:rPr>
      </w:pPr>
      <w:bookmarkStart w:id="1" w:name="OLE_LINK1"/>
      <w:bookmarkStart w:id="2" w:name="OLE_LINK2"/>
      <w:r>
        <w:rPr>
          <w:sz w:val="32"/>
          <w:szCs w:val="32"/>
        </w:rPr>
        <w:t>Cross-curriculum priorities to be included in all learning areas: Aboriginal and Torres Strait Islander histories and cultures (</w:t>
      </w:r>
      <w:r>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Pr>
          <w:sz w:val="32"/>
          <w:szCs w:val="32"/>
        </w:rPr>
        <w:t>); Asia and Australia’s engagement with Australia (</w:t>
      </w:r>
      <w:proofErr w:type="gramStart"/>
      <w:r>
        <w:rPr>
          <w:rFonts w:ascii="Cambria" w:hAnsi="Cambria"/>
          <w:sz w:val="32"/>
          <w:szCs w:val="32"/>
        </w:rPr>
        <w:t>ã</w:t>
      </w:r>
      <w:r>
        <w:rPr>
          <w:sz w:val="32"/>
          <w:szCs w:val="32"/>
        </w:rPr>
        <w:t xml:space="preserve"> )</w:t>
      </w:r>
      <w:proofErr w:type="gramEnd"/>
      <w:r>
        <w:rPr>
          <w:sz w:val="32"/>
          <w:szCs w:val="32"/>
        </w:rPr>
        <w:t>; Sustainability (</w:t>
      </w:r>
      <w:r>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bookmarkEnd w:id="1"/>
      <w:bookmarkEnd w:id="2"/>
      <w:r>
        <w:rPr>
          <w:sz w:val="32"/>
          <w:szCs w:val="32"/>
        </w:rPr>
        <w:t>)</w:t>
      </w:r>
    </w:p>
    <w:p w:rsidR="003753E1" w:rsidRPr="003753E1" w:rsidRDefault="003753E1" w:rsidP="00B623CD">
      <w:pPr>
        <w:jc w:val="center"/>
        <w:rPr>
          <w:sz w:val="28"/>
          <w:szCs w:val="28"/>
        </w:rPr>
      </w:pPr>
    </w:p>
    <w:sectPr w:rsidR="003753E1" w:rsidRPr="003753E1" w:rsidSect="00FC23B6">
      <w:footerReference w:type="default" r:id="rId12"/>
      <w:pgSz w:w="16840" w:h="23820"/>
      <w:pgMar w:top="720" w:right="432"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18" w:rsidRDefault="00870318" w:rsidP="002755AA">
      <w:r>
        <w:separator/>
      </w:r>
    </w:p>
  </w:endnote>
  <w:endnote w:type="continuationSeparator" w:id="0">
    <w:p w:rsidR="00870318" w:rsidRDefault="00870318"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18" w:rsidRPr="00C307E1" w:rsidRDefault="007967E5">
    <w:pPr>
      <w:pStyle w:val="Footer"/>
      <w:rPr>
        <w:sz w:val="20"/>
        <w:szCs w:val="20"/>
      </w:rPr>
    </w:pPr>
    <w:r>
      <w:rPr>
        <w:sz w:val="20"/>
        <w:szCs w:val="20"/>
      </w:rPr>
      <w:t>Level10AMathsCEOB</w:t>
    </w:r>
    <w:r w:rsidR="001D5D19">
      <w:rPr>
        <w:sz w:val="20"/>
        <w:szCs w:val="20"/>
      </w:rPr>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18" w:rsidRDefault="00870318" w:rsidP="002755AA">
      <w:r>
        <w:separator/>
      </w:r>
    </w:p>
  </w:footnote>
  <w:footnote w:type="continuationSeparator" w:id="0">
    <w:p w:rsidR="00870318" w:rsidRDefault="00870318"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485"/>
    <w:multiLevelType w:val="hybridMultilevel"/>
    <w:tmpl w:val="76E2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97"/>
    <w:multiLevelType w:val="hybridMultilevel"/>
    <w:tmpl w:val="444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6CC"/>
    <w:multiLevelType w:val="hybridMultilevel"/>
    <w:tmpl w:val="1CD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C7105"/>
    <w:multiLevelType w:val="hybridMultilevel"/>
    <w:tmpl w:val="30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C7427"/>
    <w:multiLevelType w:val="hybridMultilevel"/>
    <w:tmpl w:val="BD8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455B8"/>
    <w:multiLevelType w:val="hybridMultilevel"/>
    <w:tmpl w:val="C970574E"/>
    <w:lvl w:ilvl="0" w:tplc="CB1C790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5209B"/>
    <w:multiLevelType w:val="hybridMultilevel"/>
    <w:tmpl w:val="4B10F59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A7ECB"/>
    <w:multiLevelType w:val="hybridMultilevel"/>
    <w:tmpl w:val="E4D45654"/>
    <w:lvl w:ilvl="0" w:tplc="5A3627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42382"/>
    <w:multiLevelType w:val="hybridMultilevel"/>
    <w:tmpl w:val="E83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E00B1"/>
    <w:multiLevelType w:val="hybridMultilevel"/>
    <w:tmpl w:val="12D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0601A"/>
    <w:multiLevelType w:val="hybridMultilevel"/>
    <w:tmpl w:val="FB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6"/>
  </w:num>
  <w:num w:numId="5">
    <w:abstractNumId w:val="16"/>
  </w:num>
  <w:num w:numId="6">
    <w:abstractNumId w:val="3"/>
  </w:num>
  <w:num w:numId="7">
    <w:abstractNumId w:val="15"/>
  </w:num>
  <w:num w:numId="8">
    <w:abstractNumId w:val="9"/>
  </w:num>
  <w:num w:numId="9">
    <w:abstractNumId w:val="12"/>
  </w:num>
  <w:num w:numId="10">
    <w:abstractNumId w:val="10"/>
  </w:num>
  <w:num w:numId="11">
    <w:abstractNumId w:val="17"/>
  </w:num>
  <w:num w:numId="12">
    <w:abstractNumId w:val="5"/>
  </w:num>
  <w:num w:numId="13">
    <w:abstractNumId w:val="7"/>
  </w:num>
  <w:num w:numId="14">
    <w:abstractNumId w:val="1"/>
  </w:num>
  <w:num w:numId="15">
    <w:abstractNumId w:val="11"/>
  </w:num>
  <w:num w:numId="16">
    <w:abstractNumId w:val="8"/>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00CD3"/>
    <w:rsid w:val="00014EEE"/>
    <w:rsid w:val="00081F26"/>
    <w:rsid w:val="000A2509"/>
    <w:rsid w:val="000B166B"/>
    <w:rsid w:val="000B4120"/>
    <w:rsid w:val="000B7550"/>
    <w:rsid w:val="000C7AE7"/>
    <w:rsid w:val="00101440"/>
    <w:rsid w:val="00116F19"/>
    <w:rsid w:val="001268B1"/>
    <w:rsid w:val="001801DB"/>
    <w:rsid w:val="001B548B"/>
    <w:rsid w:val="001C1A06"/>
    <w:rsid w:val="001C2682"/>
    <w:rsid w:val="001D5D19"/>
    <w:rsid w:val="002108AD"/>
    <w:rsid w:val="00235DBE"/>
    <w:rsid w:val="002755AA"/>
    <w:rsid w:val="00277455"/>
    <w:rsid w:val="00277B5A"/>
    <w:rsid w:val="002834FB"/>
    <w:rsid w:val="002B16B8"/>
    <w:rsid w:val="002B7766"/>
    <w:rsid w:val="002E1596"/>
    <w:rsid w:val="002E5222"/>
    <w:rsid w:val="003038A5"/>
    <w:rsid w:val="00305D03"/>
    <w:rsid w:val="00343CAF"/>
    <w:rsid w:val="00363F7B"/>
    <w:rsid w:val="0036676B"/>
    <w:rsid w:val="003753E1"/>
    <w:rsid w:val="003871D4"/>
    <w:rsid w:val="003902C6"/>
    <w:rsid w:val="003B21F7"/>
    <w:rsid w:val="003D5B63"/>
    <w:rsid w:val="003E5BA0"/>
    <w:rsid w:val="00404620"/>
    <w:rsid w:val="00411E7F"/>
    <w:rsid w:val="00413F3E"/>
    <w:rsid w:val="0042138B"/>
    <w:rsid w:val="004261AC"/>
    <w:rsid w:val="00461BBE"/>
    <w:rsid w:val="00465AAB"/>
    <w:rsid w:val="00472A02"/>
    <w:rsid w:val="0048454C"/>
    <w:rsid w:val="004A1C86"/>
    <w:rsid w:val="004A3C97"/>
    <w:rsid w:val="004C3E83"/>
    <w:rsid w:val="004D7D96"/>
    <w:rsid w:val="00520057"/>
    <w:rsid w:val="00534B75"/>
    <w:rsid w:val="00536C91"/>
    <w:rsid w:val="00537827"/>
    <w:rsid w:val="00562BA7"/>
    <w:rsid w:val="00564A3D"/>
    <w:rsid w:val="00572232"/>
    <w:rsid w:val="00594040"/>
    <w:rsid w:val="005A21B9"/>
    <w:rsid w:val="005A4DE0"/>
    <w:rsid w:val="005B7909"/>
    <w:rsid w:val="00602820"/>
    <w:rsid w:val="0061667B"/>
    <w:rsid w:val="006176E1"/>
    <w:rsid w:val="00624157"/>
    <w:rsid w:val="006305C6"/>
    <w:rsid w:val="00650006"/>
    <w:rsid w:val="00653356"/>
    <w:rsid w:val="00670C90"/>
    <w:rsid w:val="006842EC"/>
    <w:rsid w:val="00692BAF"/>
    <w:rsid w:val="006948CB"/>
    <w:rsid w:val="006A2F1E"/>
    <w:rsid w:val="006A644D"/>
    <w:rsid w:val="006B1795"/>
    <w:rsid w:val="006B40D5"/>
    <w:rsid w:val="006C12B1"/>
    <w:rsid w:val="006C6B5E"/>
    <w:rsid w:val="006E2904"/>
    <w:rsid w:val="006F3918"/>
    <w:rsid w:val="00714DB5"/>
    <w:rsid w:val="0078213C"/>
    <w:rsid w:val="00793C9F"/>
    <w:rsid w:val="007967E5"/>
    <w:rsid w:val="007C6928"/>
    <w:rsid w:val="007D3724"/>
    <w:rsid w:val="007D7577"/>
    <w:rsid w:val="008125BD"/>
    <w:rsid w:val="00847807"/>
    <w:rsid w:val="00870318"/>
    <w:rsid w:val="00873969"/>
    <w:rsid w:val="0089074B"/>
    <w:rsid w:val="008A3EC7"/>
    <w:rsid w:val="008A45CD"/>
    <w:rsid w:val="008B68F8"/>
    <w:rsid w:val="008D7B0B"/>
    <w:rsid w:val="008E7FFC"/>
    <w:rsid w:val="008F7682"/>
    <w:rsid w:val="0092076A"/>
    <w:rsid w:val="009270A6"/>
    <w:rsid w:val="009416C3"/>
    <w:rsid w:val="00950BA8"/>
    <w:rsid w:val="00983A63"/>
    <w:rsid w:val="009B0626"/>
    <w:rsid w:val="009E52F5"/>
    <w:rsid w:val="009F2507"/>
    <w:rsid w:val="009F4771"/>
    <w:rsid w:val="00A223A2"/>
    <w:rsid w:val="00A32ECD"/>
    <w:rsid w:val="00A41A3D"/>
    <w:rsid w:val="00A45E99"/>
    <w:rsid w:val="00A663FA"/>
    <w:rsid w:val="00A73097"/>
    <w:rsid w:val="00AA4080"/>
    <w:rsid w:val="00AE0D2D"/>
    <w:rsid w:val="00AE6406"/>
    <w:rsid w:val="00B238ED"/>
    <w:rsid w:val="00B55A0A"/>
    <w:rsid w:val="00B623CD"/>
    <w:rsid w:val="00B82310"/>
    <w:rsid w:val="00B914F4"/>
    <w:rsid w:val="00B95D6E"/>
    <w:rsid w:val="00BF55DA"/>
    <w:rsid w:val="00C01057"/>
    <w:rsid w:val="00C17C1E"/>
    <w:rsid w:val="00C307E1"/>
    <w:rsid w:val="00C35BA5"/>
    <w:rsid w:val="00C40806"/>
    <w:rsid w:val="00C45807"/>
    <w:rsid w:val="00C547EB"/>
    <w:rsid w:val="00C92842"/>
    <w:rsid w:val="00C962AC"/>
    <w:rsid w:val="00CA0300"/>
    <w:rsid w:val="00CB1D1F"/>
    <w:rsid w:val="00CB7BB4"/>
    <w:rsid w:val="00D453C3"/>
    <w:rsid w:val="00D70BE3"/>
    <w:rsid w:val="00D76478"/>
    <w:rsid w:val="00DA11AA"/>
    <w:rsid w:val="00DC74F2"/>
    <w:rsid w:val="00DD4C34"/>
    <w:rsid w:val="00DE03C3"/>
    <w:rsid w:val="00DE24D1"/>
    <w:rsid w:val="00DF1829"/>
    <w:rsid w:val="00E72BD1"/>
    <w:rsid w:val="00EA7AC4"/>
    <w:rsid w:val="00EB388A"/>
    <w:rsid w:val="00EB74A5"/>
    <w:rsid w:val="00ED6C75"/>
    <w:rsid w:val="00EE317A"/>
    <w:rsid w:val="00F004FC"/>
    <w:rsid w:val="00F24558"/>
    <w:rsid w:val="00F25FC2"/>
    <w:rsid w:val="00F36B8B"/>
    <w:rsid w:val="00FC23B6"/>
    <w:rsid w:val="00FD1908"/>
    <w:rsid w:val="00FD40CF"/>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411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E7F"/>
    <w:rPr>
      <w:rFonts w:ascii="Lucida Grande" w:hAnsi="Lucida Grande" w:cs="Lucida Grande"/>
      <w:sz w:val="18"/>
      <w:szCs w:val="18"/>
    </w:rPr>
  </w:style>
  <w:style w:type="character" w:styleId="Hyperlink">
    <w:name w:val="Hyperlink"/>
    <w:basedOn w:val="DefaultParagraphFont"/>
    <w:uiPriority w:val="99"/>
    <w:unhideWhenUsed/>
    <w:rsid w:val="00B623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411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E7F"/>
    <w:rPr>
      <w:rFonts w:ascii="Lucida Grande" w:hAnsi="Lucida Grande" w:cs="Lucida Grande"/>
      <w:sz w:val="18"/>
      <w:szCs w:val="18"/>
    </w:rPr>
  </w:style>
  <w:style w:type="character" w:styleId="Hyperlink">
    <w:name w:val="Hyperlink"/>
    <w:basedOn w:val="DefaultParagraphFont"/>
    <w:uiPriority w:val="99"/>
    <w:unhideWhenUsed/>
    <w:rsid w:val="00B62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74EC-7F38-C942-AFBF-F5C6F963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4891</Characters>
  <Application>Microsoft Macintosh Word</Application>
  <DocSecurity>0</DocSecurity>
  <Lines>40</Lines>
  <Paragraphs>11</Paragraphs>
  <ScaleCrop>false</ScaleCrop>
  <Company>CEO Ballarat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2011-03-30T22:34:00Z</cp:lastPrinted>
  <dcterms:created xsi:type="dcterms:W3CDTF">2012-06-06T00:40:00Z</dcterms:created>
  <dcterms:modified xsi:type="dcterms:W3CDTF">2012-06-06T00:40:00Z</dcterms:modified>
</cp:coreProperties>
</file>