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34" w:rsidRDefault="009F1434" w:rsidP="009F1434">
      <w:pPr>
        <w:rPr>
          <w:b/>
          <w:sz w:val="32"/>
          <w:szCs w:val="32"/>
        </w:rPr>
      </w:pPr>
      <w:r w:rsidRPr="009F1434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-92710</wp:posOffset>
            </wp:positionV>
            <wp:extent cx="2276475" cy="1266825"/>
            <wp:effectExtent l="19050" t="0" r="9525" b="0"/>
            <wp:wrapSquare wrapText="bothSides"/>
            <wp:docPr id="4" name="Picture 2" descr="CEO%20Education%20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%20Education%20logo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434" w:rsidRPr="00A45E99" w:rsidRDefault="009F1434" w:rsidP="009F14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AusVELS Mathematics Level 5</w:t>
      </w:r>
    </w:p>
    <w:p w:rsidR="000A2539" w:rsidRPr="009113EF" w:rsidRDefault="00FD40CF" w:rsidP="000A2539">
      <w:pPr>
        <w:widowControl w:val="0"/>
        <w:autoSpaceDE w:val="0"/>
        <w:autoSpaceDN w:val="0"/>
        <w:adjustRightInd w:val="0"/>
        <w:rPr>
          <w:rFonts w:cs=" §¯Êˇø‹Ã"/>
          <w:color w:val="FF0000"/>
        </w:rPr>
      </w:pPr>
      <w:r w:rsidRPr="009113EF">
        <w:rPr>
          <w:b/>
          <w:color w:val="FF0000"/>
        </w:rPr>
        <w:t xml:space="preserve">Understanding </w:t>
      </w:r>
      <w:r w:rsidR="000A2539" w:rsidRPr="009113EF">
        <w:rPr>
          <w:rFonts w:cs=" §¯Êˇø‹Ã"/>
          <w:color w:val="FF0000"/>
        </w:rPr>
        <w:t>includes making connections between representations of numbers, using fractions to represent probabilities, comparing and ordering fractions and decimals and representing them in various ways</w:t>
      </w:r>
    </w:p>
    <w:p w:rsidR="009715BC" w:rsidRPr="009113EF" w:rsidRDefault="00FD40CF" w:rsidP="000A2539">
      <w:pPr>
        <w:widowControl w:val="0"/>
        <w:autoSpaceDE w:val="0"/>
        <w:autoSpaceDN w:val="0"/>
        <w:adjustRightInd w:val="0"/>
        <w:rPr>
          <w:rFonts w:cs="¯Êˇø‹Ã"/>
          <w:color w:val="FF0000"/>
        </w:rPr>
      </w:pPr>
      <w:r w:rsidRPr="009113EF">
        <w:rPr>
          <w:b/>
          <w:color w:val="FF0000"/>
        </w:rPr>
        <w:t>Fluency</w:t>
      </w:r>
      <w:r w:rsidR="00CB3A8D">
        <w:rPr>
          <w:b/>
          <w:color w:val="FF0000"/>
        </w:rPr>
        <w:t xml:space="preserve"> </w:t>
      </w:r>
      <w:r w:rsidR="000A2539" w:rsidRPr="009113EF">
        <w:rPr>
          <w:rFonts w:cs="¯Êˇø‹Ã"/>
          <w:color w:val="FF0000"/>
        </w:rPr>
        <w:t>includes choosing appropriate units of measurement for calculation of perimeter and area, using estimation to check the reasonableness of answers to calculations and using instruments to measure angles</w:t>
      </w:r>
    </w:p>
    <w:p w:rsidR="000A2539" w:rsidRPr="009113EF" w:rsidRDefault="009F1434" w:rsidP="000A2539">
      <w:pPr>
        <w:widowControl w:val="0"/>
        <w:autoSpaceDE w:val="0"/>
        <w:autoSpaceDN w:val="0"/>
        <w:adjustRightInd w:val="0"/>
        <w:rPr>
          <w:rFonts w:cs="–ãU'F8Êˇø‹Ã"/>
          <w:color w:val="FF0000"/>
        </w:rPr>
      </w:pPr>
      <w:r>
        <w:rPr>
          <w:b/>
          <w:color w:val="FF0000"/>
        </w:rPr>
        <w:t xml:space="preserve">                                                                        </w:t>
      </w:r>
      <w:r w:rsidR="00FD40CF" w:rsidRPr="009113EF">
        <w:rPr>
          <w:b/>
          <w:color w:val="FF0000"/>
        </w:rPr>
        <w:t>Problem Solving</w:t>
      </w:r>
      <w:r>
        <w:rPr>
          <w:b/>
          <w:color w:val="FF0000"/>
        </w:rPr>
        <w:t xml:space="preserve"> </w:t>
      </w:r>
      <w:r w:rsidR="000A2539" w:rsidRPr="009113EF">
        <w:rPr>
          <w:rFonts w:cs="–ãU'F8Êˇø‹Ã"/>
          <w:color w:val="FF0000"/>
        </w:rPr>
        <w:t>includes formulating and solving authentic problems using numbers and measurements, creating transformations and identifying line and rotational symmetries</w:t>
      </w:r>
    </w:p>
    <w:p w:rsidR="000A2539" w:rsidRPr="009113EF" w:rsidRDefault="009F1434" w:rsidP="000A2539">
      <w:pPr>
        <w:widowControl w:val="0"/>
        <w:autoSpaceDE w:val="0"/>
        <w:autoSpaceDN w:val="0"/>
        <w:adjustRightInd w:val="0"/>
        <w:rPr>
          <w:rFonts w:cs="›¯Êˇø‹Ã"/>
          <w:color w:val="FF0000"/>
        </w:rPr>
      </w:pPr>
      <w:r>
        <w:rPr>
          <w:b/>
          <w:color w:val="FF0000"/>
        </w:rPr>
        <w:t xml:space="preserve">                                                                        </w:t>
      </w:r>
      <w:r w:rsidR="00C35BA5" w:rsidRPr="009113EF">
        <w:rPr>
          <w:b/>
          <w:color w:val="FF0000"/>
        </w:rPr>
        <w:t xml:space="preserve">Reasoning </w:t>
      </w:r>
      <w:r w:rsidR="000A2539" w:rsidRPr="009113EF">
        <w:rPr>
          <w:rFonts w:cs="›¯Êˇø‹Ã"/>
          <w:color w:val="FF0000"/>
        </w:rPr>
        <w:t>includes investigating strategies to perform calculations efficiently, creating financial plans, interpreting results of chance experiments and interpreting data sets</w:t>
      </w:r>
    </w:p>
    <w:p w:rsidR="00446D8D" w:rsidRDefault="00446D8D" w:rsidP="00446D8D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  <w:sz w:val="22"/>
          <w:szCs w:val="22"/>
        </w:rPr>
        <w:t>*This document intends to assist teachers in their implementation of the Australian curriculum through AUSVELS</w:t>
      </w:r>
      <w:proofErr w:type="gramStart"/>
      <w:r>
        <w:rPr>
          <w:color w:val="000000"/>
          <w:sz w:val="22"/>
          <w:szCs w:val="22"/>
        </w:rPr>
        <w:t>–  it</w:t>
      </w:r>
      <w:proofErr w:type="gramEnd"/>
      <w:r>
        <w:rPr>
          <w:color w:val="000000"/>
          <w:sz w:val="22"/>
          <w:szCs w:val="22"/>
        </w:rPr>
        <w:t xml:space="preserve"> combines description and elaboration statements. The blue elaborations are examples of how the learning can be achieved; not a list of tasks that have to be done. Teachers are advised to consult the online documentation to clarify further detail for themselves. </w:t>
      </w:r>
      <w:r>
        <w:rPr>
          <w:color w:val="000000"/>
        </w:rPr>
        <w:t xml:space="preserve">The ‘AusVELS’ is </w:t>
      </w:r>
      <w:r>
        <w:rPr>
          <w:color w:val="000000"/>
          <w:sz w:val="22"/>
          <w:szCs w:val="22"/>
        </w:rPr>
        <w:t>the official documentation for Victorian schools.</w:t>
      </w:r>
    </w:p>
    <w:p w:rsidR="00C35BA5" w:rsidRPr="00D70BE3" w:rsidRDefault="00C35BA5" w:rsidP="00E63933">
      <w:pPr>
        <w:rPr>
          <w:sz w:val="22"/>
          <w:szCs w:val="22"/>
        </w:rPr>
      </w:pPr>
    </w:p>
    <w:tbl>
      <w:tblPr>
        <w:tblStyle w:val="TableGrid"/>
        <w:tblW w:w="21960" w:type="dxa"/>
        <w:tblInd w:w="720" w:type="dxa"/>
        <w:tblLook w:val="04A0" w:firstRow="1" w:lastRow="0" w:firstColumn="1" w:lastColumn="0" w:noHBand="0" w:noVBand="1"/>
      </w:tblPr>
      <w:tblGrid>
        <w:gridCol w:w="7650"/>
        <w:gridCol w:w="6570"/>
        <w:gridCol w:w="7740"/>
      </w:tblGrid>
      <w:tr w:rsidR="001537A1" w:rsidTr="0006162A">
        <w:tc>
          <w:tcPr>
            <w:tcW w:w="7650" w:type="dxa"/>
            <w:shd w:val="clear" w:color="auto" w:fill="E0FFEC"/>
          </w:tcPr>
          <w:p w:rsidR="00A45E99" w:rsidRPr="00EE317A" w:rsidRDefault="00461BBE" w:rsidP="00A45E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Number &amp; Algebra</w:t>
            </w:r>
            <w:r w:rsidR="00A45E99" w:rsidRPr="00EE317A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6570" w:type="dxa"/>
            <w:shd w:val="clear" w:color="auto" w:fill="CCFFFF"/>
          </w:tcPr>
          <w:p w:rsidR="00A45E99" w:rsidRPr="00DD4C34" w:rsidRDefault="00FD1908" w:rsidP="00A45E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Measurement &amp; Geometry</w:t>
            </w:r>
            <w:r w:rsidR="00DD4C34" w:rsidRPr="00DD4C34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7740" w:type="dxa"/>
            <w:shd w:val="clear" w:color="auto" w:fill="E3D8FF"/>
          </w:tcPr>
          <w:p w:rsidR="00A45E99" w:rsidRPr="006305C6" w:rsidRDefault="004A3C97" w:rsidP="00A45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Statistics &amp; Probability</w:t>
            </w:r>
            <w:r w:rsidR="00572232" w:rsidRPr="006305C6">
              <w:rPr>
                <w:b/>
                <w:sz w:val="28"/>
                <w:szCs w:val="28"/>
              </w:rPr>
              <w:t>:</w:t>
            </w:r>
          </w:p>
        </w:tc>
      </w:tr>
      <w:tr w:rsidR="001537A1" w:rsidTr="0012217A">
        <w:trPr>
          <w:trHeight w:val="4388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E0FFEC"/>
          </w:tcPr>
          <w:p w:rsidR="00A45E99" w:rsidRDefault="00461BBE" w:rsidP="00A45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&amp; place value</w:t>
            </w:r>
            <w:r w:rsidR="00EE317A" w:rsidRPr="00EE317A">
              <w:rPr>
                <w:b/>
                <w:sz w:val="28"/>
                <w:szCs w:val="28"/>
              </w:rPr>
              <w:t>:</w:t>
            </w:r>
          </w:p>
          <w:p w:rsidR="000A2539" w:rsidRPr="00CB3A8D" w:rsidRDefault="000A2539" w:rsidP="000A25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Identify and describe factors and multiples of whole numbers and use them to solve problems (ACMNA098)</w:t>
            </w:r>
          </w:p>
          <w:p w:rsidR="000A2539" w:rsidRPr="00CB3A8D" w:rsidRDefault="000A2539" w:rsidP="00E3209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exploring factors and multiples using number sequences</w:t>
            </w:r>
          </w:p>
          <w:p w:rsidR="000A2539" w:rsidRPr="00CB3A8D" w:rsidRDefault="000A2539" w:rsidP="00E3209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using simple divisibility tests</w:t>
            </w:r>
          </w:p>
          <w:p w:rsidR="000A2539" w:rsidRPr="00CB3A8D" w:rsidRDefault="000A2539" w:rsidP="000A25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A2539" w:rsidRPr="00CB3A8D" w:rsidRDefault="000A2539" w:rsidP="000A25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Use estimation and rounding to check the reasonableness of answers to calculations</w:t>
            </w:r>
          </w:p>
          <w:p w:rsidR="00CD7C17" w:rsidRPr="00CB3A8D" w:rsidRDefault="000A2539" w:rsidP="000A2539">
            <w:pPr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(ACMNA099)</w:t>
            </w:r>
          </w:p>
          <w:p w:rsidR="000A2539" w:rsidRPr="00CB3A8D" w:rsidRDefault="000A2539" w:rsidP="00E320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recognising the usefulness of estimation to check calculations</w:t>
            </w:r>
          </w:p>
          <w:p w:rsidR="000A2539" w:rsidRPr="00CB3A8D" w:rsidRDefault="000A2539" w:rsidP="00E320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applying mental strategies to estimate the result of calculations,</w:t>
            </w:r>
            <w:r w:rsidR="00CB3A8D" w:rsidRPr="00CB3A8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such as estimating the cost of a supermarket trolley load</w:t>
            </w:r>
          </w:p>
          <w:p w:rsidR="00CD7C17" w:rsidRPr="00CB3A8D" w:rsidRDefault="00CD7C17" w:rsidP="00DD2747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D2747" w:rsidRPr="00CB3A8D" w:rsidRDefault="00305817" w:rsidP="0030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Solve problems involving multiplication of large numbers by one or two digit numbers using efficient mental, written strategies and appropriate digital technologies (ACMNA100)</w:t>
            </w:r>
          </w:p>
          <w:p w:rsidR="00305817" w:rsidRPr="00CB3A8D" w:rsidRDefault="00305817" w:rsidP="00E3209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exploring techniques for multiplication such as the area model, the Italian lattice method or the partitioning of numbers</w:t>
            </w:r>
          </w:p>
          <w:p w:rsidR="00305817" w:rsidRPr="00CB3A8D" w:rsidRDefault="00305817" w:rsidP="00E3209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applying the distributive law and using arrays to model multiplication and explain calculation strategies</w:t>
            </w:r>
          </w:p>
          <w:p w:rsidR="00305817" w:rsidRPr="00CB3A8D" w:rsidRDefault="00305817" w:rsidP="0030581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305817" w:rsidRPr="00CB3A8D" w:rsidRDefault="00305817" w:rsidP="0030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Solve problems involving division by a one digit number, including those that result in a remainder (ACMNA101)</w:t>
            </w:r>
          </w:p>
          <w:p w:rsidR="00305817" w:rsidRPr="00CB3A8D" w:rsidRDefault="00305817" w:rsidP="00E320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using the fact that equivalent division calculations result if both numbers are divided by the same factor</w:t>
            </w:r>
          </w:p>
          <w:p w:rsidR="00305817" w:rsidRPr="00CB3A8D" w:rsidRDefault="00305817" w:rsidP="00E320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interpreting and representing the remainder in division calculations sensibly for the context</w:t>
            </w:r>
          </w:p>
          <w:p w:rsidR="00305817" w:rsidRPr="00CB3A8D" w:rsidRDefault="00305817" w:rsidP="0030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305817" w:rsidRPr="00CB3A8D" w:rsidRDefault="00305817" w:rsidP="0030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Use efficient mental and written strategies and apply appropriate digital technologies to solve problems (ACMNA291)</w:t>
            </w:r>
          </w:p>
          <w:p w:rsidR="00305817" w:rsidRPr="00CB3A8D" w:rsidRDefault="00305817" w:rsidP="00E320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using calculators to check the reasonableness of answers</w:t>
            </w:r>
          </w:p>
          <w:p w:rsidR="00305817" w:rsidRPr="00CB3A8D" w:rsidRDefault="00305817" w:rsidP="0030581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«¯Êˇø‹Ã" w:hAnsi="«¯Êˇø‹Ã" w:cs="«¯Êˇø‹Ã"/>
                <w:color w:val="0000FF"/>
                <w:sz w:val="18"/>
                <w:szCs w:val="18"/>
              </w:rPr>
            </w:pPr>
          </w:p>
          <w:p w:rsidR="008F7682" w:rsidRDefault="00CD7C17" w:rsidP="008F7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Fractions &amp; Decimals</w:t>
            </w:r>
            <w:r w:rsidR="008F7682" w:rsidRPr="008F7682">
              <w:rPr>
                <w:b/>
                <w:sz w:val="28"/>
                <w:szCs w:val="28"/>
              </w:rPr>
              <w:t>:</w:t>
            </w:r>
          </w:p>
          <w:p w:rsidR="00305817" w:rsidRPr="00CB3A8D" w:rsidRDefault="00305817" w:rsidP="0030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Compare and order common unit fractions and locate and represent them on a number line (ACMNA102)</w:t>
            </w:r>
          </w:p>
          <w:p w:rsidR="00171865" w:rsidRPr="00CB3A8D" w:rsidRDefault="00305817" w:rsidP="00E320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recognising the connection between the value of a unit fraction and its denominator</w:t>
            </w:r>
          </w:p>
          <w:p w:rsidR="00305817" w:rsidRPr="00CB3A8D" w:rsidRDefault="00305817" w:rsidP="0030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305817" w:rsidRPr="00CB3A8D" w:rsidRDefault="00305817" w:rsidP="0030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Investigate strategies to solve problems involving addition and subtraction of fractions with the same denominator (ACMNA103)</w:t>
            </w:r>
          </w:p>
          <w:p w:rsidR="00305817" w:rsidRPr="00CB3A8D" w:rsidRDefault="005053F4" w:rsidP="00E320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modelling and solving addition and subtraction problems involving fractions by using jumps on a number line, or making diagrams of fractions as parts of shapes</w:t>
            </w:r>
          </w:p>
          <w:p w:rsidR="005053F4" w:rsidRPr="00CB3A8D" w:rsidRDefault="005053F4" w:rsidP="005053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053F4" w:rsidRPr="00CB3A8D" w:rsidRDefault="00EA70E8" w:rsidP="005053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Recognise that the place value</w:t>
            </w:r>
            <w:r w:rsidR="005053F4" w:rsidRPr="00CB3A8D">
              <w:rPr>
                <w:rFonts w:ascii="Arial" w:hAnsi="Arial" w:cs="Arial"/>
                <w:sz w:val="18"/>
                <w:szCs w:val="18"/>
              </w:rPr>
              <w:t xml:space="preserve"> system can be extended beyond hundredths (ACMNA104)</w:t>
            </w:r>
          </w:p>
          <w:p w:rsidR="005053F4" w:rsidRPr="00CB3A8D" w:rsidRDefault="005053F4" w:rsidP="00E320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using knowledge of place value and division by 10 to extend the number system to thousandths and beyond</w:t>
            </w:r>
          </w:p>
          <w:p w:rsidR="005053F4" w:rsidRPr="00CB3A8D" w:rsidRDefault="005053F4" w:rsidP="00E320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recognising the equivalence of thousandths and 0.001</w:t>
            </w:r>
          </w:p>
          <w:p w:rsidR="005053F4" w:rsidRPr="00CB3A8D" w:rsidRDefault="005053F4" w:rsidP="005053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5053F4" w:rsidRPr="00CB3A8D" w:rsidRDefault="005053F4" w:rsidP="005053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Compare, order and represent decimals (ACMNA105)</w:t>
            </w:r>
          </w:p>
          <w:p w:rsidR="005053F4" w:rsidRPr="00CB3A8D" w:rsidRDefault="005053F4" w:rsidP="00E3209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recognising that the number of digits after the decimal place is</w:t>
            </w:r>
            <w:r w:rsidR="00CB3A8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not equivalent to the value of the fraction</w:t>
            </w:r>
          </w:p>
          <w:p w:rsidR="005053F4" w:rsidRPr="00CB3A8D" w:rsidRDefault="005053F4" w:rsidP="00E3209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locating decimals on a number line</w:t>
            </w:r>
          </w:p>
          <w:p w:rsidR="005053F4" w:rsidRPr="00CB3A8D" w:rsidRDefault="005053F4" w:rsidP="005053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5053F4" w:rsidRPr="005053F4" w:rsidRDefault="005053F4" w:rsidP="005053F4">
            <w:pPr>
              <w:widowControl w:val="0"/>
              <w:autoSpaceDE w:val="0"/>
              <w:autoSpaceDN w:val="0"/>
              <w:adjustRightInd w:val="0"/>
              <w:rPr>
                <w:rFonts w:ascii="F¯Êˇø‹Ã" w:hAnsi="F¯Êˇø‹Ã" w:cs="F¯Êˇø‹Ã"/>
                <w:color w:val="3366FF"/>
                <w:sz w:val="18"/>
                <w:szCs w:val="18"/>
              </w:rPr>
            </w:pPr>
            <w:bookmarkStart w:id="0" w:name="_GoBack"/>
            <w:bookmarkEnd w:id="0"/>
          </w:p>
          <w:p w:rsidR="009F1434" w:rsidRDefault="009F1434" w:rsidP="008F7682">
            <w:pPr>
              <w:rPr>
                <w:b/>
                <w:sz w:val="28"/>
                <w:szCs w:val="28"/>
              </w:rPr>
            </w:pPr>
          </w:p>
          <w:p w:rsidR="008F7682" w:rsidRDefault="00DA11AA" w:rsidP="008F7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Money &amp; Financial</w:t>
            </w:r>
            <w:r w:rsidR="009F1434">
              <w:rPr>
                <w:b/>
                <w:sz w:val="28"/>
                <w:szCs w:val="28"/>
              </w:rPr>
              <w:t xml:space="preserve"> mathematics</w:t>
            </w:r>
            <w:r w:rsidR="008F7682" w:rsidRPr="006948CB">
              <w:rPr>
                <w:b/>
                <w:sz w:val="28"/>
                <w:szCs w:val="28"/>
              </w:rPr>
              <w:t>:</w:t>
            </w:r>
          </w:p>
          <w:p w:rsidR="005053F4" w:rsidRPr="00CB3A8D" w:rsidRDefault="005053F4" w:rsidP="008F7682">
            <w:pPr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Create simple financial plans (ACMNA106)</w:t>
            </w:r>
          </w:p>
          <w:p w:rsidR="005053F4" w:rsidRPr="00CB3A8D" w:rsidRDefault="005053F4" w:rsidP="00E3209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creating a simple budget for a class fundraising event</w:t>
            </w:r>
          </w:p>
          <w:p w:rsidR="005053F4" w:rsidRPr="00CB3A8D" w:rsidRDefault="005053F4" w:rsidP="00E3209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identifying the GST component of invoices and receipts</w:t>
            </w:r>
          </w:p>
          <w:p w:rsidR="005053F4" w:rsidRPr="00CB3A8D" w:rsidRDefault="005053F4" w:rsidP="009F1434">
            <w:pPr>
              <w:pStyle w:val="ListParagraph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004305" w:rsidRPr="00004305" w:rsidRDefault="00004305" w:rsidP="000043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Patterns &amp; algebra</w:t>
            </w:r>
            <w:r w:rsidRPr="00DD4C34">
              <w:rPr>
                <w:b/>
                <w:sz w:val="28"/>
                <w:szCs w:val="28"/>
              </w:rPr>
              <w:t>:</w:t>
            </w:r>
          </w:p>
          <w:p w:rsidR="00CE3F8A" w:rsidRPr="00CB3A8D" w:rsidRDefault="005053F4" w:rsidP="005053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Describe, continue and create patterns with fractions, decimals and whole numbers resulting from addition and subtraction (ACMNA107)</w:t>
            </w:r>
          </w:p>
          <w:p w:rsidR="005053F4" w:rsidRPr="00CB3A8D" w:rsidRDefault="004B0383" w:rsidP="00E3209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using the number line or diagrams to create patterns involving fractions or decimals</w:t>
            </w:r>
          </w:p>
          <w:p w:rsidR="004B0383" w:rsidRPr="00CB3A8D" w:rsidRDefault="004B0383" w:rsidP="004B03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4B0383" w:rsidRPr="00CB3A8D" w:rsidRDefault="004B0383" w:rsidP="004B03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Use equivalent number sentences involving multiplication and division to find unknown quantities (ACMNA121)</w:t>
            </w:r>
          </w:p>
          <w:p w:rsidR="004B0383" w:rsidRPr="00CB3A8D" w:rsidRDefault="004B0383" w:rsidP="00E3209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using relevant problems to develop number sentences</w:t>
            </w:r>
          </w:p>
          <w:p w:rsidR="004B0383" w:rsidRPr="004B0383" w:rsidRDefault="004B0383" w:rsidP="004B038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¿¯Êˇø‹Ã" w:hAnsi="¿¯Êˇø‹Ã" w:cs="¿¯Êˇø‹Ã"/>
                <w:color w:val="3366FF"/>
                <w:sz w:val="18"/>
                <w:szCs w:val="18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CCFFFF"/>
          </w:tcPr>
          <w:p w:rsidR="00A45E99" w:rsidRPr="00305D03" w:rsidRDefault="00EB388A" w:rsidP="00A45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Using units of measurement</w:t>
            </w:r>
            <w:r w:rsidR="00DD4C34" w:rsidRPr="00305D03">
              <w:rPr>
                <w:b/>
                <w:sz w:val="28"/>
                <w:szCs w:val="28"/>
              </w:rPr>
              <w:t>:</w:t>
            </w:r>
          </w:p>
          <w:p w:rsidR="00627CFC" w:rsidRPr="00CB3A8D" w:rsidRDefault="00627CFC" w:rsidP="00627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Choose appropriate units of measurement for length, area, volume, capac</w:t>
            </w:r>
            <w:r w:rsidR="00F071A8">
              <w:rPr>
                <w:rFonts w:ascii="Arial" w:hAnsi="Arial" w:cs="Arial"/>
                <w:sz w:val="18"/>
                <w:szCs w:val="18"/>
              </w:rPr>
              <w:t xml:space="preserve">ity </w:t>
            </w:r>
            <w:r w:rsidRPr="00CB3A8D">
              <w:rPr>
                <w:rFonts w:ascii="Arial" w:hAnsi="Arial" w:cs="Arial"/>
                <w:sz w:val="18"/>
                <w:szCs w:val="18"/>
              </w:rPr>
              <w:t>and mass  (ACMMG108)</w:t>
            </w:r>
            <w:r w:rsidR="00805BDE" w:rsidRPr="00CB3A8D">
              <w:rPr>
                <w:rFonts w:ascii="Arial" w:eastAsia="Times New Roman" w:hAnsi="Arial" w:cs="Arial"/>
                <w:noProof/>
                <w:color w:val="535353"/>
                <w:sz w:val="18"/>
                <w:szCs w:val="18"/>
                <w:lang w:eastAsia="en-AU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20" descr="http://www.australiancurriculum.edu.au/Static/img/icons/tags/leg-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ustraliancurriculum.edu.au/Static/img/icons/tags/leg-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CFC" w:rsidRPr="00CB3A8D" w:rsidRDefault="00627CFC" w:rsidP="00E3209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investigating alternative measures of scale to demonstrate that these vary between countries and change over time, for example temperature measurement in Australia, Indonesia, Japan and USA</w:t>
            </w:r>
          </w:p>
          <w:p w:rsidR="00627CFC" w:rsidRPr="00CB3A8D" w:rsidRDefault="00627CFC" w:rsidP="00E3209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recognising that some units of measurement are better suited for some tasks than others, for example kilometres rather than metres to measure the distance between two towns</w:t>
            </w:r>
          </w:p>
          <w:p w:rsidR="009F1434" w:rsidRPr="00CB3A8D" w:rsidRDefault="009F1434" w:rsidP="00627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7CFC" w:rsidRPr="00CB3A8D" w:rsidRDefault="00627CFC" w:rsidP="00627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Calculate the perimeter and area of rectangles using familiar metric units (ACMMG109)</w:t>
            </w:r>
          </w:p>
          <w:p w:rsidR="00627CFC" w:rsidRPr="00CB3A8D" w:rsidRDefault="00627CFC" w:rsidP="00E3209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exploring efficient ways of calculating the perimeters of rectangles such as adding the length and width together and doubling the result</w:t>
            </w:r>
          </w:p>
          <w:p w:rsidR="00627CFC" w:rsidRPr="00CB3A8D" w:rsidRDefault="00627CFC" w:rsidP="00E3209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exploring efficient ways of finding the areas of rectangles, such as recognising that counting the number of square centimetres in a grid gives the same result as multiplying the length and width</w:t>
            </w:r>
          </w:p>
          <w:p w:rsidR="00E32099" w:rsidRPr="00CB3A8D" w:rsidRDefault="00E32099" w:rsidP="00E32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E32099" w:rsidRPr="00CB3A8D" w:rsidRDefault="00E32099" w:rsidP="00E32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Compare 12</w:t>
            </w:r>
            <w:r w:rsidR="00F07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A8D">
              <w:rPr>
                <w:rFonts w:ascii="Arial" w:hAnsi="Arial" w:cs="Arial"/>
                <w:sz w:val="18"/>
                <w:szCs w:val="18"/>
              </w:rPr>
              <w:t>and 24 hour time systems and convert between them (ACMMG110)</w:t>
            </w:r>
          </w:p>
          <w:p w:rsidR="0009449D" w:rsidRPr="00CB3A8D" w:rsidRDefault="00805BDE" w:rsidP="00E32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eastAsia="Times New Roman" w:hAnsi="Arial" w:cs="Arial"/>
                <w:noProof/>
                <w:color w:val="535353"/>
                <w:sz w:val="18"/>
                <w:szCs w:val="18"/>
                <w:lang w:eastAsia="en-AU"/>
              </w:rPr>
              <w:drawing>
                <wp:inline distT="0" distB="0" distL="0" distR="0">
                  <wp:extent cx="152400" cy="152400"/>
                  <wp:effectExtent l="0" t="0" r="0" b="0"/>
                  <wp:docPr id="19" name="Picture 19" descr="http://www.australiancurriculum.edu.au/Static/img/icons/tags/leg-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ustraliancurriculum.edu.au/Static/img/icons/tags/leg-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099" w:rsidRPr="00CB3A8D" w:rsidRDefault="00E32099" w:rsidP="00E3209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investigating the ways time was and is measured in different Aboriginal Country, such as using tidal change</w:t>
            </w:r>
          </w:p>
          <w:p w:rsidR="00E32099" w:rsidRPr="00CB3A8D" w:rsidRDefault="00E32099" w:rsidP="00E3209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using units hours, minutes and seconds</w:t>
            </w:r>
          </w:p>
          <w:p w:rsidR="00E32099" w:rsidRPr="00E32099" w:rsidRDefault="00E32099" w:rsidP="00E32099">
            <w:pPr>
              <w:widowControl w:val="0"/>
              <w:autoSpaceDE w:val="0"/>
              <w:autoSpaceDN w:val="0"/>
              <w:adjustRightInd w:val="0"/>
              <w:rPr>
                <w:rFonts w:ascii="^¯Êˇø‹Ã" w:hAnsi="^¯Êˇø‹Ã" w:cs="^¯Êˇø‹Ã"/>
                <w:color w:val="3366FF"/>
                <w:sz w:val="18"/>
                <w:szCs w:val="18"/>
              </w:rPr>
            </w:pPr>
          </w:p>
          <w:p w:rsidR="00627CFC" w:rsidRPr="00627CFC" w:rsidRDefault="00627CFC" w:rsidP="00627CFC">
            <w:pPr>
              <w:widowControl w:val="0"/>
              <w:autoSpaceDE w:val="0"/>
              <w:autoSpaceDN w:val="0"/>
              <w:adjustRightInd w:val="0"/>
              <w:rPr>
                <w:rFonts w:ascii="Èß¯Êˇø‹Ã" w:hAnsi="Èß¯Êˇø‹Ã" w:cs="Èß¯Êˇø‹Ã"/>
                <w:sz w:val="18"/>
                <w:szCs w:val="18"/>
              </w:rPr>
            </w:pPr>
          </w:p>
          <w:p w:rsidR="00A223A2" w:rsidRPr="00305D03" w:rsidRDefault="009E52F5" w:rsidP="0062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Shape</w:t>
            </w:r>
            <w:r w:rsidR="00A223A2" w:rsidRPr="00305D03">
              <w:rPr>
                <w:b/>
                <w:sz w:val="28"/>
                <w:szCs w:val="28"/>
              </w:rPr>
              <w:t>:</w:t>
            </w:r>
          </w:p>
          <w:p w:rsidR="00022BE5" w:rsidRPr="00CB3A8D" w:rsidRDefault="00216C1A" w:rsidP="00E32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Connect three-</w:t>
            </w:r>
            <w:r w:rsidR="00E32099" w:rsidRPr="00CB3A8D">
              <w:rPr>
                <w:rFonts w:ascii="Arial" w:hAnsi="Arial" w:cs="Arial"/>
                <w:sz w:val="18"/>
                <w:szCs w:val="18"/>
              </w:rPr>
              <w:t>dimensional object</w:t>
            </w:r>
            <w:r w:rsidRPr="00CB3A8D">
              <w:rPr>
                <w:rFonts w:ascii="Arial" w:hAnsi="Arial" w:cs="Arial"/>
                <w:sz w:val="18"/>
                <w:szCs w:val="18"/>
              </w:rPr>
              <w:t>s with their nets and other two-</w:t>
            </w:r>
            <w:r w:rsidR="00E32099" w:rsidRPr="00CB3A8D">
              <w:rPr>
                <w:rFonts w:ascii="Arial" w:hAnsi="Arial" w:cs="Arial"/>
                <w:sz w:val="18"/>
                <w:szCs w:val="18"/>
              </w:rPr>
              <w:t>dimensional representations (ACMMG111)</w:t>
            </w:r>
          </w:p>
          <w:p w:rsidR="00216C1A" w:rsidRPr="00CB3A8D" w:rsidRDefault="00216C1A" w:rsidP="00216C1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identifying the shape and relative position of each face of a solid to determine the net of the solid, including that of prisms and pyramids</w:t>
            </w:r>
          </w:p>
          <w:p w:rsidR="00E32099" w:rsidRPr="00CB3A8D" w:rsidRDefault="00216C1A" w:rsidP="00216C1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representing two-dimensional shapes such as photographs, sketches and images created by digital technologies</w:t>
            </w:r>
          </w:p>
          <w:p w:rsidR="009F1434" w:rsidRPr="00CB3A8D" w:rsidRDefault="009F1434" w:rsidP="009E52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E52F5" w:rsidRDefault="009E52F5" w:rsidP="009E5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 &amp; transformation:</w:t>
            </w:r>
          </w:p>
          <w:p w:rsidR="00F67B8C" w:rsidRPr="00CB3A8D" w:rsidRDefault="00216C1A" w:rsidP="00216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Use a grid reference system to describe locations. Describe routes using landmarks and directional language (ACMMG113)</w:t>
            </w:r>
            <w:r w:rsidR="00805BDE" w:rsidRPr="00CB3A8D">
              <w:rPr>
                <w:rFonts w:ascii="Arial" w:eastAsia="Times New Roman" w:hAnsi="Arial" w:cs="Arial"/>
                <w:noProof/>
                <w:color w:val="535353"/>
                <w:sz w:val="18"/>
                <w:szCs w:val="18"/>
                <w:lang w:eastAsia="en-AU"/>
              </w:rPr>
              <w:drawing>
                <wp:inline distT="0" distB="0" distL="0" distR="0">
                  <wp:extent cx="152400" cy="152400"/>
                  <wp:effectExtent l="0" t="0" r="0" b="0"/>
                  <wp:docPr id="7" name="Picture 7" descr="http://www.australiancurriculum.edu.au/Static/img/icons/tags/leg-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ustraliancurriculum.edu.au/Static/img/icons/tags/leg-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49D" w:rsidRDefault="0009449D" w:rsidP="00216C1A">
            <w:pPr>
              <w:widowControl w:val="0"/>
              <w:autoSpaceDE w:val="0"/>
              <w:autoSpaceDN w:val="0"/>
              <w:adjustRightInd w:val="0"/>
              <w:rPr>
                <w:rFonts w:ascii="•¯Êˇø‹Ã" w:hAnsi="•¯Êˇø‹Ã" w:cs="•¯Êˇø‹Ã"/>
                <w:sz w:val="18"/>
                <w:szCs w:val="18"/>
              </w:rPr>
            </w:pPr>
          </w:p>
          <w:p w:rsidR="00216C1A" w:rsidRPr="00CB3A8D" w:rsidRDefault="00216C1A" w:rsidP="00216C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comparing aerial views of Country, desert paintings and maps with grid references</w:t>
            </w:r>
          </w:p>
          <w:p w:rsidR="00216C1A" w:rsidRPr="00CB3A8D" w:rsidRDefault="00216C1A" w:rsidP="00216C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creating a grid reference system for the classroom and using it to locate objects and describe routes from one object to another</w:t>
            </w:r>
          </w:p>
          <w:p w:rsidR="00216C1A" w:rsidRDefault="00216C1A" w:rsidP="00216C1A">
            <w:pPr>
              <w:widowControl w:val="0"/>
              <w:autoSpaceDE w:val="0"/>
              <w:autoSpaceDN w:val="0"/>
              <w:adjustRightInd w:val="0"/>
              <w:rPr>
                <w:rFonts w:ascii="•¯Êˇø‹Ã" w:hAnsi="•¯Êˇø‹Ã" w:cs="•¯Êˇø‹Ã"/>
                <w:color w:val="3366FF"/>
                <w:sz w:val="18"/>
                <w:szCs w:val="18"/>
              </w:rPr>
            </w:pPr>
          </w:p>
          <w:p w:rsidR="00216C1A" w:rsidRPr="00CB3A8D" w:rsidRDefault="00216C1A" w:rsidP="00216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Describe translations, reflections and rotations of two-dimensional shapes. Identify line and rotational</w:t>
            </w:r>
            <w:r w:rsidR="00CB3A8D" w:rsidRPr="00CB3A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A8D">
              <w:rPr>
                <w:rFonts w:ascii="Arial" w:hAnsi="Arial" w:cs="Arial"/>
                <w:sz w:val="18"/>
                <w:szCs w:val="18"/>
              </w:rPr>
              <w:t>symmetries (ACMMG114)</w:t>
            </w:r>
          </w:p>
          <w:p w:rsidR="00A34BA0" w:rsidRPr="00CB3A8D" w:rsidRDefault="00A34BA0" w:rsidP="00A34BA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identifying and describing the line and rotational symmetry of a range of two-dimensional shapes, by manually cutting, folding and turning shapes and by using digital technologies</w:t>
            </w:r>
          </w:p>
          <w:p w:rsidR="00A34BA0" w:rsidRPr="00CB3A8D" w:rsidRDefault="00A34BA0" w:rsidP="00A34BA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identifying the effects of transformations by manually flipping, sliding and turning two-dimensional shapes and by using digital technologies</w:t>
            </w:r>
          </w:p>
          <w:p w:rsidR="009F1434" w:rsidRPr="00CB3A8D" w:rsidRDefault="00F07744" w:rsidP="00805B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noProof/>
                <w:lang w:eastAsia="en-AU"/>
              </w:rPr>
              <w:lastRenderedPageBreak/>
              <w:drawing>
                <wp:inline distT="0" distB="0" distL="0" distR="0">
                  <wp:extent cx="203200" cy="203200"/>
                  <wp:effectExtent l="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BA0" w:rsidRPr="00CB3A8D" w:rsidRDefault="00A34BA0" w:rsidP="00805B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Apply the enlargement transformation to familiar two-dimensional shapes and explore the properties of the resulting image compared with the original</w:t>
            </w:r>
          </w:p>
          <w:p w:rsidR="00233F59" w:rsidRPr="00CB3A8D" w:rsidRDefault="00A34BA0" w:rsidP="00A34BA0">
            <w:pPr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(ACMMG115)</w:t>
            </w:r>
          </w:p>
          <w:p w:rsidR="00A34BA0" w:rsidRPr="00CB3A8D" w:rsidRDefault="00A34BA0" w:rsidP="00A34BA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using digital technologies to enlarge shapes</w:t>
            </w:r>
          </w:p>
          <w:p w:rsidR="00A34BA0" w:rsidRPr="00CB3A8D" w:rsidRDefault="00A34BA0" w:rsidP="00A34BA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using a grid system to enlarge a favourite image or cartoon</w:t>
            </w:r>
          </w:p>
          <w:p w:rsidR="009F1434" w:rsidRPr="00CB3A8D" w:rsidRDefault="009F1434" w:rsidP="005A21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21B9" w:rsidRPr="005A21B9" w:rsidRDefault="005A21B9" w:rsidP="005A21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Geometric reasoning:</w:t>
            </w:r>
          </w:p>
          <w:p w:rsidR="00F67B8C" w:rsidRPr="00CB3A8D" w:rsidRDefault="00A34BA0" w:rsidP="00A34B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Estimate, measure and compare angles using degrees. Construct angles using a protractor (ACMMG112)</w:t>
            </w:r>
          </w:p>
          <w:p w:rsidR="00A34BA0" w:rsidRPr="00CB3A8D" w:rsidRDefault="00A34BA0" w:rsidP="00A34BA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!¯Êˇø‹Ã" w:hAnsi="!¯Êˇø‹Ã" w:cs="!¯Êˇø‹Ã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measuring and constructing angles using both 180° and 360°protractors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E3D8FF"/>
          </w:tcPr>
          <w:p w:rsidR="00A45E99" w:rsidRDefault="004A3C97" w:rsidP="00A45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Chance</w:t>
            </w:r>
            <w:r w:rsidR="00572232" w:rsidRPr="00572232">
              <w:rPr>
                <w:b/>
                <w:sz w:val="28"/>
                <w:szCs w:val="28"/>
              </w:rPr>
              <w:t>:</w:t>
            </w:r>
          </w:p>
          <w:p w:rsidR="0009449D" w:rsidRPr="00CB3A8D" w:rsidRDefault="00A34BA0" w:rsidP="00F07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List outcomes of chance experiments involving equally likely outcomes and represent probabilities of those outcomes using fractions (ACMSP116)</w:t>
            </w:r>
            <w:r w:rsidR="00805BDE" w:rsidRPr="00CB3A8D">
              <w:rPr>
                <w:rFonts w:ascii="Arial" w:eastAsia="Times New Roman" w:hAnsi="Arial" w:cs="Arial"/>
                <w:noProof/>
                <w:color w:val="535353"/>
                <w:sz w:val="18"/>
                <w:szCs w:val="18"/>
                <w:lang w:eastAsia="en-AU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6" descr="http://www.australiancurriculum.edu.au/Static/img/icons/tags/leg-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ustraliancurriculum.edu.au/Static/img/icons/tags/leg-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BA0" w:rsidRPr="00CB3A8D" w:rsidRDefault="00A34BA0" w:rsidP="00A34BA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 xml:space="preserve">commenting on the likelihood of winning simple games of chance by considering the number of possible outcomes and the consequent chance of winning in simple games of chance such as </w:t>
            </w:r>
            <w:proofErr w:type="spellStart"/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jan</w:t>
            </w:r>
            <w:proofErr w:type="spellEnd"/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-ken-</w:t>
            </w:r>
            <w:proofErr w:type="spellStart"/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pon</w:t>
            </w:r>
            <w:proofErr w:type="spellEnd"/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 xml:space="preserve"> (rock-paper-scissors)</w:t>
            </w:r>
          </w:p>
          <w:p w:rsidR="00A34BA0" w:rsidRPr="00CB3A8D" w:rsidRDefault="00A34BA0" w:rsidP="00A34B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0F164F" w:rsidRPr="00CB3A8D" w:rsidRDefault="00A34BA0" w:rsidP="00A34B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Recognise that probabilities range from 0 to 1 (ACMSP117)</w:t>
            </w:r>
          </w:p>
          <w:p w:rsidR="00A34BA0" w:rsidRPr="00CB3A8D" w:rsidRDefault="00A34BA0" w:rsidP="00A34BA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investigating the probabilities of all outcomes for a simple</w:t>
            </w:r>
            <w:r w:rsidR="00CB3A8D" w:rsidRPr="00CB3A8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chance experiment and verifying that their sum equals 1</w:t>
            </w:r>
          </w:p>
          <w:p w:rsidR="00C41913" w:rsidRPr="009F1434" w:rsidRDefault="00C41913" w:rsidP="009F1434">
            <w:pPr>
              <w:widowControl w:val="0"/>
              <w:autoSpaceDE w:val="0"/>
              <w:autoSpaceDN w:val="0"/>
              <w:adjustRightInd w:val="0"/>
              <w:rPr>
                <w:rFonts w:ascii="•¯Êˇø‹Ã" w:hAnsi="•¯Êˇø‹Ã" w:cs="•¯Êˇø‹Ã"/>
                <w:color w:val="3366FF"/>
                <w:sz w:val="18"/>
                <w:szCs w:val="18"/>
              </w:rPr>
            </w:pPr>
          </w:p>
          <w:p w:rsidR="00572232" w:rsidRPr="00B7398B" w:rsidRDefault="00536C91" w:rsidP="00B7398B">
            <w:pPr>
              <w:widowControl w:val="0"/>
              <w:autoSpaceDE w:val="0"/>
              <w:autoSpaceDN w:val="0"/>
              <w:adjustRightInd w:val="0"/>
              <w:rPr>
                <w:rFonts w:ascii="L±9¯Êˇø‹Ã" w:hAnsi="L±9¯Êˇø‹Ã" w:cs="L±9¯Êˇø‹Ã"/>
                <w:sz w:val="18"/>
                <w:szCs w:val="18"/>
              </w:rPr>
            </w:pPr>
            <w:r w:rsidRPr="00B7398B">
              <w:rPr>
                <w:b/>
                <w:sz w:val="28"/>
                <w:szCs w:val="28"/>
              </w:rPr>
              <w:t>Data representation &amp; interpretation</w:t>
            </w:r>
            <w:r w:rsidR="00572232" w:rsidRPr="00B7398B">
              <w:rPr>
                <w:b/>
                <w:sz w:val="28"/>
                <w:szCs w:val="28"/>
              </w:rPr>
              <w:t>:</w:t>
            </w:r>
          </w:p>
          <w:p w:rsidR="00B7398B" w:rsidRPr="00CB3A8D" w:rsidRDefault="00C41913" w:rsidP="00C41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Pose questions and collect categorical or numerical data by observation or survey (ACMSP118)</w:t>
            </w:r>
            <w:r w:rsidR="00805BDE" w:rsidRPr="00CB3A8D">
              <w:rPr>
                <w:rFonts w:ascii="Arial" w:eastAsia="Times New Roman" w:hAnsi="Arial" w:cs="Arial"/>
                <w:noProof/>
                <w:color w:val="535353"/>
                <w:sz w:val="18"/>
                <w:szCs w:val="18"/>
                <w:lang w:eastAsia="en-AU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18" descr="http://www.australiancurriculum.edu.au/Static/img/icons/tags/leg-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ustraliancurriculum.edu.au/Static/img/icons/tags/leg-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4DF" w:rsidRPr="00CB3A8D" w:rsidRDefault="002534DF" w:rsidP="00C41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41913" w:rsidRPr="00CB3A8D" w:rsidRDefault="00C41913" w:rsidP="00C4191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posing questions about insect diversity in the playground, collecting data by taping a one-metre-square piece of paper to the playground and observing the type and number of insects on it over time</w:t>
            </w:r>
          </w:p>
          <w:p w:rsidR="009F1434" w:rsidRPr="00CB3A8D" w:rsidRDefault="009F1434" w:rsidP="00C41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41913" w:rsidRPr="00CB3A8D" w:rsidRDefault="00C41913" w:rsidP="00C41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Construct displays, including column graphs, dot plots and tables, appropriate for data type, with and without the use of digital technologies (ACMSP119)</w:t>
            </w:r>
          </w:p>
          <w:p w:rsidR="00C41913" w:rsidRPr="00CB3A8D" w:rsidRDefault="00C41913" w:rsidP="00C4191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identifying the best methods of presenting data to illustrate the results of investigations and justifying the choice of representations</w:t>
            </w:r>
          </w:p>
          <w:p w:rsidR="00C41913" w:rsidRPr="00CB3A8D" w:rsidRDefault="00C41913" w:rsidP="00C4191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C41913" w:rsidRPr="00CB3A8D" w:rsidRDefault="00C41913" w:rsidP="00C41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3A8D">
              <w:rPr>
                <w:rFonts w:ascii="Arial" w:hAnsi="Arial" w:cs="Arial"/>
                <w:sz w:val="18"/>
                <w:szCs w:val="18"/>
              </w:rPr>
              <w:t>Describe and interpret different data sets in context (ACMSP120)</w:t>
            </w:r>
          </w:p>
          <w:p w:rsidR="00C41913" w:rsidRPr="00CB3A8D" w:rsidRDefault="00C41913" w:rsidP="00C4191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Ù¯Êˇø‹Ã" w:hAnsi="Ù¯Êˇø‹Ã" w:cs="Ù¯Êˇø‹Ã"/>
                <w:color w:val="0000FF"/>
                <w:sz w:val="18"/>
                <w:szCs w:val="18"/>
              </w:rPr>
            </w:pPr>
            <w:r w:rsidRPr="00CB3A8D">
              <w:rPr>
                <w:rFonts w:ascii="Arial" w:hAnsi="Arial" w:cs="Arial"/>
                <w:color w:val="0000FF"/>
                <w:sz w:val="18"/>
                <w:szCs w:val="18"/>
              </w:rPr>
              <w:t>using and comparing data representations for different data sets to help decision making, such as choosing the best mobile phone plan</w:t>
            </w:r>
          </w:p>
        </w:tc>
      </w:tr>
      <w:tr w:rsidR="004C7416" w:rsidTr="00060B6D">
        <w:tc>
          <w:tcPr>
            <w:tcW w:w="21960" w:type="dxa"/>
            <w:gridSpan w:val="3"/>
            <w:shd w:val="clear" w:color="auto" w:fill="auto"/>
          </w:tcPr>
          <w:p w:rsidR="008B65AF" w:rsidRPr="00F13F23" w:rsidRDefault="009F1434" w:rsidP="00A45E99">
            <w:pPr>
              <w:rPr>
                <w:rFonts w:ascii="Arial" w:hAnsi="Arial" w:cs="Arial"/>
                <w:b/>
                <w:color w:val="000000"/>
              </w:rPr>
            </w:pPr>
            <w:r w:rsidRPr="00F13F23">
              <w:rPr>
                <w:rFonts w:ascii="Arial" w:hAnsi="Arial" w:cs="Arial"/>
                <w:b/>
                <w:color w:val="000000"/>
              </w:rPr>
              <w:lastRenderedPageBreak/>
              <w:t>Level 5</w:t>
            </w:r>
            <w:r w:rsidR="008B65AF" w:rsidRPr="00F13F23">
              <w:rPr>
                <w:rFonts w:ascii="Arial" w:hAnsi="Arial" w:cs="Arial"/>
                <w:b/>
                <w:color w:val="000000"/>
              </w:rPr>
              <w:t xml:space="preserve"> Achievement Standard</w:t>
            </w:r>
          </w:p>
          <w:p w:rsidR="008B65AF" w:rsidRPr="00F13F23" w:rsidRDefault="008B65AF" w:rsidP="00A45E99">
            <w:pPr>
              <w:rPr>
                <w:rFonts w:ascii="Helvetica" w:hAnsi="Helvetica" w:cs="Helvetica"/>
                <w:b/>
                <w:color w:val="000000"/>
              </w:rPr>
            </w:pPr>
          </w:p>
          <w:p w:rsidR="0012217A" w:rsidRPr="0012217A" w:rsidRDefault="0012217A" w:rsidP="0012217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 w:rsidRPr="0012217A">
              <w:rPr>
                <w:rFonts w:ascii="Arial-BoldMT" w:hAnsi="Arial-BoldMT" w:cs="Arial-BoldMT"/>
                <w:b/>
                <w:bCs/>
                <w:color w:val="000000"/>
              </w:rPr>
              <w:t>Number and Algebra</w:t>
            </w:r>
          </w:p>
          <w:p w:rsidR="0012217A" w:rsidRPr="002123DD" w:rsidRDefault="0012217A" w:rsidP="0012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23DD">
              <w:rPr>
                <w:rFonts w:ascii="Arial" w:hAnsi="Arial" w:cs="Arial"/>
                <w:color w:val="000000"/>
              </w:rPr>
              <w:t>Students solve simple problems involving the four operations using a range of strategies including digital technology. They estimate to check the reasonableness of answers and approximate</w:t>
            </w:r>
          </w:p>
          <w:p w:rsidR="002123DD" w:rsidRDefault="0012217A" w:rsidP="0012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23D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123DD">
              <w:rPr>
                <w:rFonts w:ascii="Arial" w:hAnsi="Arial" w:cs="Arial"/>
                <w:color w:val="000000"/>
              </w:rPr>
              <w:t>answers</w:t>
            </w:r>
            <w:proofErr w:type="gramEnd"/>
            <w:r w:rsidRPr="002123DD">
              <w:rPr>
                <w:rFonts w:ascii="Arial" w:hAnsi="Arial" w:cs="Arial"/>
                <w:color w:val="000000"/>
              </w:rPr>
              <w:t xml:space="preserve"> by rounding. Students identify and describe factors and multiples. They explain plans for simple budgets. Students order decimals and unit fractions and locate them on</w:t>
            </w:r>
            <w:r w:rsidR="002123DD">
              <w:rPr>
                <w:rFonts w:ascii="Arial" w:hAnsi="Arial" w:cs="Arial"/>
                <w:color w:val="000000"/>
              </w:rPr>
              <w:t xml:space="preserve"> </w:t>
            </w:r>
            <w:r w:rsidRPr="002123DD">
              <w:rPr>
                <w:rFonts w:ascii="Arial" w:hAnsi="Arial" w:cs="Arial"/>
                <w:color w:val="000000"/>
              </w:rPr>
              <w:t xml:space="preserve">a number line. </w:t>
            </w:r>
          </w:p>
          <w:p w:rsidR="0012217A" w:rsidRPr="002123DD" w:rsidRDefault="0012217A" w:rsidP="0012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23DD">
              <w:rPr>
                <w:rFonts w:ascii="Arial" w:hAnsi="Arial" w:cs="Arial"/>
                <w:color w:val="000000"/>
              </w:rPr>
              <w:t>Students add and subtract fractions with the same denominator. They find unknown quantities in number sentences and continue patterns by adding or subtracting fractions and decimals.</w:t>
            </w:r>
          </w:p>
          <w:p w:rsidR="0012217A" w:rsidRDefault="0012217A" w:rsidP="0012217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  <w:p w:rsidR="0012217A" w:rsidRPr="0012217A" w:rsidRDefault="0012217A" w:rsidP="0012217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 w:rsidRPr="0012217A">
              <w:rPr>
                <w:rFonts w:ascii="Arial-BoldMT" w:hAnsi="Arial-BoldMT" w:cs="Arial-BoldMT"/>
                <w:b/>
                <w:bCs/>
                <w:color w:val="000000"/>
              </w:rPr>
              <w:t>Measurement and Geometry</w:t>
            </w:r>
          </w:p>
          <w:p w:rsidR="002123DD" w:rsidRDefault="0012217A" w:rsidP="0012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23DD">
              <w:rPr>
                <w:rFonts w:ascii="Arial" w:hAnsi="Arial" w:cs="Arial"/>
                <w:color w:val="000000"/>
              </w:rPr>
              <w:t>Students use appropriate units of measurement for length, area, volume, capacity and mass, and calculate perimeter and area of rectangles. They convert between 12 and 24</w:t>
            </w:r>
            <w:r w:rsidR="002123DD">
              <w:rPr>
                <w:rFonts w:ascii="Arial" w:hAnsi="Arial" w:cs="Arial"/>
                <w:color w:val="000000"/>
              </w:rPr>
              <w:t xml:space="preserve"> </w:t>
            </w:r>
            <w:r w:rsidRPr="002123DD">
              <w:rPr>
                <w:rFonts w:ascii="Arial" w:hAnsi="Arial" w:cs="Arial"/>
                <w:color w:val="000000"/>
              </w:rPr>
              <w:t>hour</w:t>
            </w:r>
            <w:r w:rsidR="002123DD">
              <w:rPr>
                <w:rFonts w:ascii="Arial" w:hAnsi="Arial" w:cs="Arial"/>
                <w:color w:val="000000"/>
              </w:rPr>
              <w:t xml:space="preserve"> </w:t>
            </w:r>
            <w:r w:rsidRPr="002123DD">
              <w:rPr>
                <w:rFonts w:ascii="Arial" w:hAnsi="Arial" w:cs="Arial"/>
                <w:color w:val="000000"/>
              </w:rPr>
              <w:t xml:space="preserve">time. </w:t>
            </w:r>
          </w:p>
          <w:p w:rsidR="0012217A" w:rsidRPr="002123DD" w:rsidRDefault="0012217A" w:rsidP="0012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23DD">
              <w:rPr>
                <w:rFonts w:ascii="Arial" w:hAnsi="Arial" w:cs="Arial"/>
                <w:color w:val="000000"/>
              </w:rPr>
              <w:t>Students use a grid reference system to locate landmarks. They estimate angles, and use protractors and digital technology to construct and measure angles. Students connect three dimensional</w:t>
            </w:r>
          </w:p>
          <w:p w:rsidR="0012217A" w:rsidRPr="002123DD" w:rsidRDefault="0012217A" w:rsidP="0012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123DD">
              <w:rPr>
                <w:rFonts w:ascii="Arial" w:hAnsi="Arial" w:cs="Arial"/>
                <w:color w:val="000000"/>
              </w:rPr>
              <w:t>objects</w:t>
            </w:r>
            <w:proofErr w:type="gramEnd"/>
            <w:r w:rsidRPr="002123DD">
              <w:rPr>
                <w:rFonts w:ascii="Arial" w:hAnsi="Arial" w:cs="Arial"/>
                <w:color w:val="000000"/>
              </w:rPr>
              <w:t xml:space="preserve"> with their two dimensional representations. They describe transformations of two dimensional shapes and identify line and rotational symmetry.</w:t>
            </w:r>
          </w:p>
          <w:p w:rsidR="0012217A" w:rsidRDefault="0012217A" w:rsidP="0012217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  <w:p w:rsidR="0012217A" w:rsidRPr="0012217A" w:rsidRDefault="0012217A" w:rsidP="0012217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 w:rsidRPr="0012217A">
              <w:rPr>
                <w:rFonts w:ascii="Arial-BoldMT" w:hAnsi="Arial-BoldMT" w:cs="Arial-BoldMT"/>
                <w:b/>
                <w:bCs/>
                <w:color w:val="000000"/>
              </w:rPr>
              <w:t>Statistics and Probability</w:t>
            </w:r>
          </w:p>
          <w:p w:rsidR="002123DD" w:rsidRDefault="0012217A" w:rsidP="0012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23DD">
              <w:rPr>
                <w:rFonts w:ascii="Arial" w:hAnsi="Arial" w:cs="Arial"/>
                <w:color w:val="000000"/>
              </w:rPr>
              <w:t xml:space="preserve">Students pose questions to gather data and construct various displays appropriate for the data, with and without the use of digital technology. They compare and interpret different data sets. </w:t>
            </w:r>
          </w:p>
          <w:p w:rsidR="0012217A" w:rsidRPr="002123DD" w:rsidRDefault="0012217A" w:rsidP="0012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23DD">
              <w:rPr>
                <w:rFonts w:ascii="Arial" w:hAnsi="Arial" w:cs="Arial"/>
                <w:color w:val="000000"/>
              </w:rPr>
              <w:t>Students list outcomes of chance experiments with equally likely outcomes and assign probabilities as a number from 0 to 1.</w:t>
            </w:r>
          </w:p>
          <w:p w:rsidR="00C41913" w:rsidRPr="0012217A" w:rsidRDefault="0012217A" w:rsidP="0012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43"/>
                <w:szCs w:val="43"/>
              </w:rPr>
            </w:pPr>
            <w:r>
              <w:rPr>
                <w:rFonts w:ascii="Arial" w:hAnsi="Arial" w:cs="Arial"/>
                <w:color w:val="FFFFFF"/>
                <w:sz w:val="43"/>
                <w:szCs w:val="43"/>
              </w:rPr>
              <w:t>Mathematics</w:t>
            </w:r>
          </w:p>
        </w:tc>
      </w:tr>
    </w:tbl>
    <w:p w:rsidR="009F1434" w:rsidRDefault="009F1434" w:rsidP="009F1434">
      <w:pPr>
        <w:rPr>
          <w:sz w:val="28"/>
          <w:szCs w:val="28"/>
        </w:rPr>
      </w:pPr>
    </w:p>
    <w:p w:rsidR="009F1434" w:rsidRPr="0074702F" w:rsidRDefault="009F1434" w:rsidP="009F1434">
      <w:pPr>
        <w:rPr>
          <w:sz w:val="28"/>
          <w:szCs w:val="28"/>
        </w:rPr>
      </w:pPr>
      <w:r w:rsidRPr="0074702F">
        <w:rPr>
          <w:sz w:val="28"/>
          <w:szCs w:val="28"/>
        </w:rPr>
        <w:t xml:space="preserve">Cross-curriculum priorities to be included in all learning areas: </w:t>
      </w:r>
    </w:p>
    <w:p w:rsidR="009F1434" w:rsidRPr="0074702F" w:rsidRDefault="009F1434" w:rsidP="009F1434">
      <w:pPr>
        <w:rPr>
          <w:sz w:val="28"/>
          <w:szCs w:val="28"/>
        </w:rPr>
      </w:pPr>
      <w:r w:rsidRPr="0074702F">
        <w:rPr>
          <w:sz w:val="28"/>
          <w:szCs w:val="28"/>
        </w:rPr>
        <w:t>Aboriginal and Torres Strait Islander histories and cultures (</w:t>
      </w:r>
      <w:r w:rsidRPr="0074702F">
        <w:rPr>
          <w:rFonts w:ascii="Helvetica" w:hAnsi="Helvetica" w:cs="Helvetica"/>
          <w:noProof/>
          <w:sz w:val="28"/>
          <w:szCs w:val="28"/>
          <w:lang w:eastAsia="en-AU"/>
        </w:rPr>
        <w:drawing>
          <wp:inline distT="0" distB="0" distL="0" distR="0">
            <wp:extent cx="152400" cy="152400"/>
            <wp:effectExtent l="0" t="0" r="0" b="0"/>
            <wp:docPr id="11" name="Picture 2" descr="Aboriginal and Torres Strait Islander histories and cul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riginal and Torres Strait Islander histories and cultur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02F">
        <w:rPr>
          <w:sz w:val="28"/>
          <w:szCs w:val="28"/>
        </w:rPr>
        <w:t xml:space="preserve">); </w:t>
      </w:r>
    </w:p>
    <w:p w:rsidR="009F1434" w:rsidRPr="0074702F" w:rsidRDefault="009F1434" w:rsidP="009F1434">
      <w:pPr>
        <w:rPr>
          <w:sz w:val="28"/>
          <w:szCs w:val="28"/>
        </w:rPr>
      </w:pPr>
      <w:r w:rsidRPr="0074702F">
        <w:rPr>
          <w:sz w:val="28"/>
          <w:szCs w:val="28"/>
        </w:rPr>
        <w:t>Asia and Australia’s engagement with Australia (</w:t>
      </w:r>
      <w:r w:rsidRPr="0074702F">
        <w:rPr>
          <w:rFonts w:ascii="Cambria" w:hAnsi="Cambria"/>
          <w:noProof/>
          <w:sz w:val="28"/>
          <w:szCs w:val="28"/>
          <w:lang w:eastAsia="en-AU"/>
        </w:rPr>
        <w:drawing>
          <wp:inline distT="0" distB="0" distL="0" distR="0">
            <wp:extent cx="152400" cy="152400"/>
            <wp:effectExtent l="19050" t="0" r="0" b="0"/>
            <wp:docPr id="12" name="Picture 7" descr="Asia and Australia´s engagement with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ia and Australia´s engagement with Asi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02F">
        <w:rPr>
          <w:sz w:val="28"/>
          <w:szCs w:val="28"/>
        </w:rPr>
        <w:t xml:space="preserve"> ); </w:t>
      </w:r>
    </w:p>
    <w:p w:rsidR="009F1434" w:rsidRDefault="009F1434" w:rsidP="009F1434">
      <w:pPr>
        <w:rPr>
          <w:sz w:val="28"/>
          <w:szCs w:val="28"/>
        </w:rPr>
      </w:pPr>
      <w:r w:rsidRPr="0074702F">
        <w:rPr>
          <w:sz w:val="28"/>
          <w:szCs w:val="28"/>
        </w:rPr>
        <w:t>Sustainability (</w:t>
      </w:r>
      <w:r w:rsidRPr="0074702F">
        <w:rPr>
          <w:rFonts w:ascii="Helvetica" w:hAnsi="Helvetica" w:cs="Helvetica"/>
          <w:noProof/>
          <w:sz w:val="28"/>
          <w:szCs w:val="28"/>
          <w:lang w:eastAsia="en-AU"/>
        </w:rPr>
        <w:drawing>
          <wp:inline distT="0" distB="0" distL="0" distR="0">
            <wp:extent cx="152400" cy="152400"/>
            <wp:effectExtent l="19050" t="0" r="0" b="0"/>
            <wp:docPr id="13" name="Picture 18" descr="http://www.australiancurriculum.edu.au/Static/img/icons/tags/leg-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ustraliancurriculum.edu.au/Static/img/icons/tags/leg-c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02F">
        <w:rPr>
          <w:sz w:val="28"/>
          <w:szCs w:val="28"/>
        </w:rPr>
        <w:t>)</w:t>
      </w:r>
    </w:p>
    <w:p w:rsidR="00446D8D" w:rsidRDefault="00446D8D" w:rsidP="009F1434">
      <w:pPr>
        <w:rPr>
          <w:sz w:val="28"/>
          <w:szCs w:val="28"/>
        </w:rPr>
      </w:pPr>
    </w:p>
    <w:p w:rsidR="00446D8D" w:rsidRDefault="00446D8D" w:rsidP="009F1434">
      <w:pPr>
        <w:rPr>
          <w:sz w:val="28"/>
          <w:szCs w:val="28"/>
        </w:rPr>
      </w:pPr>
    </w:p>
    <w:p w:rsidR="00446D8D" w:rsidRDefault="00446D8D" w:rsidP="00446D8D">
      <w:pPr>
        <w:spacing w:before="100" w:beforeAutospacing="1" w:after="100" w:afterAutospacing="1"/>
        <w:jc w:val="center"/>
        <w:rPr>
          <w:color w:val="000000"/>
        </w:rPr>
      </w:pPr>
    </w:p>
    <w:p w:rsidR="00446D8D" w:rsidRDefault="00446D8D" w:rsidP="00446D8D">
      <w:pPr>
        <w:spacing w:before="100" w:beforeAutospacing="1" w:after="100" w:afterAutospacing="1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Reference :</w:t>
      </w:r>
      <w:proofErr w:type="gramEnd"/>
      <w:r>
        <w:rPr>
          <w:color w:val="000000"/>
          <w:sz w:val="28"/>
          <w:szCs w:val="28"/>
        </w:rPr>
        <w:t xml:space="preserve"> </w:t>
      </w:r>
      <w:hyperlink r:id="rId15" w:history="1">
        <w:r>
          <w:rPr>
            <w:rStyle w:val="Hyperlink"/>
            <w:sz w:val="28"/>
            <w:szCs w:val="28"/>
          </w:rPr>
          <w:t>http://ausvels.vcaa.vic.edu.au/</w:t>
        </w:r>
      </w:hyperlink>
      <w:r>
        <w:rPr>
          <w:color w:val="000000"/>
          <w:sz w:val="28"/>
          <w:szCs w:val="28"/>
        </w:rPr>
        <w:t xml:space="preserve"> This grid is an adaption of the information from the VCAA site to create a visual representation to assist teachers.</w:t>
      </w:r>
    </w:p>
    <w:p w:rsidR="00446D8D" w:rsidRPr="0074702F" w:rsidRDefault="00446D8D" w:rsidP="009F1434">
      <w:pPr>
        <w:rPr>
          <w:sz w:val="28"/>
          <w:szCs w:val="28"/>
        </w:rPr>
      </w:pPr>
    </w:p>
    <w:p w:rsidR="009F1434" w:rsidRPr="00F12378" w:rsidRDefault="009F1434" w:rsidP="009F1434">
      <w:pPr>
        <w:rPr>
          <w:sz w:val="32"/>
          <w:szCs w:val="32"/>
        </w:rPr>
      </w:pPr>
    </w:p>
    <w:sectPr w:rsidR="009F1434" w:rsidRPr="00F12378" w:rsidSect="00114313">
      <w:footerReference w:type="default" r:id="rId16"/>
      <w:pgSz w:w="23820" w:h="16840" w:orient="landscape"/>
      <w:pgMar w:top="431" w:right="720" w:bottom="43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8D" w:rsidRDefault="00CB3A8D" w:rsidP="002755AA">
      <w:r>
        <w:separator/>
      </w:r>
    </w:p>
  </w:endnote>
  <w:endnote w:type="continuationSeparator" w:id="0">
    <w:p w:rsidR="00CB3A8D" w:rsidRDefault="00CB3A8D" w:rsidP="0027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 §¯Ê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¯Ê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–ãU'F8Ê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›¯Ê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«¯Ê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¯Ê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¿¯Ê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^¯Ê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Èß¯Ê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•¯Ê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!¯Ê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±9¯Ê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Ù¯Ê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8D" w:rsidRDefault="00CB3A8D">
    <w:pPr>
      <w:pStyle w:val="Footer"/>
    </w:pPr>
    <w:r>
      <w:t xml:space="preserve">CEOB </w:t>
    </w:r>
    <w:r w:rsidR="000138DD">
      <w:t>Dec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8D" w:rsidRDefault="00CB3A8D" w:rsidP="002755AA">
      <w:r>
        <w:separator/>
      </w:r>
    </w:p>
  </w:footnote>
  <w:footnote w:type="continuationSeparator" w:id="0">
    <w:p w:rsidR="00CB3A8D" w:rsidRDefault="00CB3A8D" w:rsidP="0027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38C"/>
    <w:multiLevelType w:val="hybridMultilevel"/>
    <w:tmpl w:val="9BA4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63B"/>
    <w:multiLevelType w:val="hybridMultilevel"/>
    <w:tmpl w:val="DA18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77336"/>
    <w:multiLevelType w:val="hybridMultilevel"/>
    <w:tmpl w:val="61AA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2347C"/>
    <w:multiLevelType w:val="hybridMultilevel"/>
    <w:tmpl w:val="5780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6A6A"/>
    <w:multiLevelType w:val="hybridMultilevel"/>
    <w:tmpl w:val="C3BE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C5996"/>
    <w:multiLevelType w:val="hybridMultilevel"/>
    <w:tmpl w:val="B9E6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A3B69"/>
    <w:multiLevelType w:val="hybridMultilevel"/>
    <w:tmpl w:val="EEC2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870B3"/>
    <w:multiLevelType w:val="hybridMultilevel"/>
    <w:tmpl w:val="933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F1546"/>
    <w:multiLevelType w:val="hybridMultilevel"/>
    <w:tmpl w:val="B3B8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A7383"/>
    <w:multiLevelType w:val="hybridMultilevel"/>
    <w:tmpl w:val="7E74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24A69"/>
    <w:multiLevelType w:val="hybridMultilevel"/>
    <w:tmpl w:val="068A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D50EA"/>
    <w:multiLevelType w:val="hybridMultilevel"/>
    <w:tmpl w:val="D66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20BA5"/>
    <w:multiLevelType w:val="hybridMultilevel"/>
    <w:tmpl w:val="B634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11166"/>
    <w:multiLevelType w:val="hybridMultilevel"/>
    <w:tmpl w:val="5BD0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F0FA5"/>
    <w:multiLevelType w:val="hybridMultilevel"/>
    <w:tmpl w:val="2772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E1435"/>
    <w:multiLevelType w:val="hybridMultilevel"/>
    <w:tmpl w:val="B8EE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54FDC"/>
    <w:multiLevelType w:val="hybridMultilevel"/>
    <w:tmpl w:val="0792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4BC3"/>
    <w:multiLevelType w:val="hybridMultilevel"/>
    <w:tmpl w:val="7BC0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D1E6F"/>
    <w:multiLevelType w:val="hybridMultilevel"/>
    <w:tmpl w:val="6D9C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D3EA4"/>
    <w:multiLevelType w:val="hybridMultilevel"/>
    <w:tmpl w:val="52C0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A7C0C"/>
    <w:multiLevelType w:val="hybridMultilevel"/>
    <w:tmpl w:val="620A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3"/>
  </w:num>
  <w:num w:numId="5">
    <w:abstractNumId w:val="16"/>
  </w:num>
  <w:num w:numId="6">
    <w:abstractNumId w:val="1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2"/>
  </w:num>
  <w:num w:numId="12">
    <w:abstractNumId w:val="14"/>
  </w:num>
  <w:num w:numId="13">
    <w:abstractNumId w:val="6"/>
  </w:num>
  <w:num w:numId="14">
    <w:abstractNumId w:val="20"/>
  </w:num>
  <w:num w:numId="15">
    <w:abstractNumId w:val="7"/>
  </w:num>
  <w:num w:numId="16">
    <w:abstractNumId w:val="9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  <w:num w:numId="2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E1"/>
    <w:rsid w:val="00004305"/>
    <w:rsid w:val="000138DD"/>
    <w:rsid w:val="00015341"/>
    <w:rsid w:val="00022BE5"/>
    <w:rsid w:val="000351B3"/>
    <w:rsid w:val="00060B6D"/>
    <w:rsid w:val="0006162A"/>
    <w:rsid w:val="0009449D"/>
    <w:rsid w:val="000A2539"/>
    <w:rsid w:val="000B166B"/>
    <w:rsid w:val="000B4120"/>
    <w:rsid w:val="000C7AE7"/>
    <w:rsid w:val="000D4983"/>
    <w:rsid w:val="000E11A0"/>
    <w:rsid w:val="000F164F"/>
    <w:rsid w:val="000F4AA2"/>
    <w:rsid w:val="00106937"/>
    <w:rsid w:val="00114313"/>
    <w:rsid w:val="00116F19"/>
    <w:rsid w:val="0012217A"/>
    <w:rsid w:val="0013375C"/>
    <w:rsid w:val="001442ED"/>
    <w:rsid w:val="00151054"/>
    <w:rsid w:val="001537A1"/>
    <w:rsid w:val="00171865"/>
    <w:rsid w:val="0017516D"/>
    <w:rsid w:val="001C2682"/>
    <w:rsid w:val="002123DD"/>
    <w:rsid w:val="002140E1"/>
    <w:rsid w:val="00216C1A"/>
    <w:rsid w:val="002313CB"/>
    <w:rsid w:val="00233F59"/>
    <w:rsid w:val="002534DF"/>
    <w:rsid w:val="00265804"/>
    <w:rsid w:val="002755AA"/>
    <w:rsid w:val="002936E4"/>
    <w:rsid w:val="002B7766"/>
    <w:rsid w:val="002E1E95"/>
    <w:rsid w:val="00305817"/>
    <w:rsid w:val="00305D03"/>
    <w:rsid w:val="003249D7"/>
    <w:rsid w:val="00341C37"/>
    <w:rsid w:val="00363F7B"/>
    <w:rsid w:val="003753E1"/>
    <w:rsid w:val="00376FC4"/>
    <w:rsid w:val="003961BF"/>
    <w:rsid w:val="003B2678"/>
    <w:rsid w:val="003E5BA0"/>
    <w:rsid w:val="0042138B"/>
    <w:rsid w:val="004447D3"/>
    <w:rsid w:val="00446D8D"/>
    <w:rsid w:val="00461BBE"/>
    <w:rsid w:val="0048454C"/>
    <w:rsid w:val="004940E6"/>
    <w:rsid w:val="0049650E"/>
    <w:rsid w:val="00497DD9"/>
    <w:rsid w:val="004A3C97"/>
    <w:rsid w:val="004B0383"/>
    <w:rsid w:val="004C7416"/>
    <w:rsid w:val="004D7D96"/>
    <w:rsid w:val="005053F4"/>
    <w:rsid w:val="00534B75"/>
    <w:rsid w:val="00535A9C"/>
    <w:rsid w:val="00535D4F"/>
    <w:rsid w:val="00536C91"/>
    <w:rsid w:val="005570DE"/>
    <w:rsid w:val="00560165"/>
    <w:rsid w:val="00572232"/>
    <w:rsid w:val="005A21B9"/>
    <w:rsid w:val="005B36C4"/>
    <w:rsid w:val="005E0E54"/>
    <w:rsid w:val="005E2937"/>
    <w:rsid w:val="005F1195"/>
    <w:rsid w:val="0061667B"/>
    <w:rsid w:val="006176E1"/>
    <w:rsid w:val="00627CFC"/>
    <w:rsid w:val="006305C6"/>
    <w:rsid w:val="0064291B"/>
    <w:rsid w:val="006563FD"/>
    <w:rsid w:val="006948CB"/>
    <w:rsid w:val="006B40D5"/>
    <w:rsid w:val="006D10A7"/>
    <w:rsid w:val="00700B4B"/>
    <w:rsid w:val="0070510E"/>
    <w:rsid w:val="00714DB5"/>
    <w:rsid w:val="00774FB4"/>
    <w:rsid w:val="0078213C"/>
    <w:rsid w:val="007901F9"/>
    <w:rsid w:val="00793778"/>
    <w:rsid w:val="007B2464"/>
    <w:rsid w:val="007B5E56"/>
    <w:rsid w:val="007C0DCB"/>
    <w:rsid w:val="007D3724"/>
    <w:rsid w:val="00805BDE"/>
    <w:rsid w:val="00847807"/>
    <w:rsid w:val="008B5985"/>
    <w:rsid w:val="008B65AF"/>
    <w:rsid w:val="008C3BE5"/>
    <w:rsid w:val="008C713E"/>
    <w:rsid w:val="008D16F8"/>
    <w:rsid w:val="008D7B0B"/>
    <w:rsid w:val="008E7FFC"/>
    <w:rsid w:val="008F7682"/>
    <w:rsid w:val="00902234"/>
    <w:rsid w:val="009113EF"/>
    <w:rsid w:val="00925485"/>
    <w:rsid w:val="009416C3"/>
    <w:rsid w:val="00963B09"/>
    <w:rsid w:val="009715BC"/>
    <w:rsid w:val="009722E7"/>
    <w:rsid w:val="00975DF9"/>
    <w:rsid w:val="009A7691"/>
    <w:rsid w:val="009C51CD"/>
    <w:rsid w:val="009E52F5"/>
    <w:rsid w:val="009F1434"/>
    <w:rsid w:val="009F4771"/>
    <w:rsid w:val="009F75A7"/>
    <w:rsid w:val="00A223A2"/>
    <w:rsid w:val="00A34BA0"/>
    <w:rsid w:val="00A41A3D"/>
    <w:rsid w:val="00A41B86"/>
    <w:rsid w:val="00A45E99"/>
    <w:rsid w:val="00A473D3"/>
    <w:rsid w:val="00A663FA"/>
    <w:rsid w:val="00A73097"/>
    <w:rsid w:val="00AB7A79"/>
    <w:rsid w:val="00AC6487"/>
    <w:rsid w:val="00AD08AF"/>
    <w:rsid w:val="00B13015"/>
    <w:rsid w:val="00B6197A"/>
    <w:rsid w:val="00B70050"/>
    <w:rsid w:val="00B7398B"/>
    <w:rsid w:val="00B82310"/>
    <w:rsid w:val="00B914F4"/>
    <w:rsid w:val="00BD36D5"/>
    <w:rsid w:val="00BF55DA"/>
    <w:rsid w:val="00C07CA5"/>
    <w:rsid w:val="00C17C1E"/>
    <w:rsid w:val="00C307E1"/>
    <w:rsid w:val="00C35BA5"/>
    <w:rsid w:val="00C41913"/>
    <w:rsid w:val="00C64B07"/>
    <w:rsid w:val="00C66CA3"/>
    <w:rsid w:val="00CB3A8D"/>
    <w:rsid w:val="00CB7BB4"/>
    <w:rsid w:val="00CD7C17"/>
    <w:rsid w:val="00CE3F8A"/>
    <w:rsid w:val="00CF0519"/>
    <w:rsid w:val="00D453C3"/>
    <w:rsid w:val="00D70BE3"/>
    <w:rsid w:val="00D94542"/>
    <w:rsid w:val="00D9572D"/>
    <w:rsid w:val="00DA11AA"/>
    <w:rsid w:val="00DC74F2"/>
    <w:rsid w:val="00DD2747"/>
    <w:rsid w:val="00DD4C34"/>
    <w:rsid w:val="00DE24D1"/>
    <w:rsid w:val="00E32099"/>
    <w:rsid w:val="00E63933"/>
    <w:rsid w:val="00E676FE"/>
    <w:rsid w:val="00EA70E8"/>
    <w:rsid w:val="00EA7AC4"/>
    <w:rsid w:val="00EB06D0"/>
    <w:rsid w:val="00EB388A"/>
    <w:rsid w:val="00EC4540"/>
    <w:rsid w:val="00EE2335"/>
    <w:rsid w:val="00EE317A"/>
    <w:rsid w:val="00EF6F8A"/>
    <w:rsid w:val="00F071A8"/>
    <w:rsid w:val="00F07744"/>
    <w:rsid w:val="00F12378"/>
    <w:rsid w:val="00F13F23"/>
    <w:rsid w:val="00F36892"/>
    <w:rsid w:val="00F678A9"/>
    <w:rsid w:val="00F67B8C"/>
    <w:rsid w:val="00F94706"/>
    <w:rsid w:val="00FA5473"/>
    <w:rsid w:val="00FC7D47"/>
    <w:rsid w:val="00FD1908"/>
    <w:rsid w:val="00FD40CF"/>
    <w:rsid w:val="00FE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7D8F29-B317-4B7C-B310-8FA54B94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E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5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5AA"/>
  </w:style>
  <w:style w:type="paragraph" w:styleId="Footer">
    <w:name w:val="footer"/>
    <w:basedOn w:val="Normal"/>
    <w:link w:val="FooterChar"/>
    <w:uiPriority w:val="99"/>
    <w:unhideWhenUsed/>
    <w:rsid w:val="002755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5AA"/>
  </w:style>
  <w:style w:type="paragraph" w:styleId="BalloonText">
    <w:name w:val="Balloon Text"/>
    <w:basedOn w:val="Normal"/>
    <w:link w:val="BalloonTextChar"/>
    <w:uiPriority w:val="99"/>
    <w:semiHidden/>
    <w:unhideWhenUsed/>
    <w:rsid w:val="00B61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6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ausvels.vcaa.vic.edu.au/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B86FB6-0166-43E6-95B4-9FF0FFA7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 Ballarat</Company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Doody</dc:creator>
  <cp:lastModifiedBy>Teresa Hadden</cp:lastModifiedBy>
  <cp:revision>2</cp:revision>
  <cp:lastPrinted>2014-12-03T00:37:00Z</cp:lastPrinted>
  <dcterms:created xsi:type="dcterms:W3CDTF">2014-12-03T00:37:00Z</dcterms:created>
  <dcterms:modified xsi:type="dcterms:W3CDTF">2014-12-03T00:37:00Z</dcterms:modified>
</cp:coreProperties>
</file>