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3097" w:rsidRPr="00815B62" w:rsidRDefault="009E1646" w:rsidP="008D7B0B">
      <w:pPr>
        <w:jc w:val="center"/>
        <w:rPr>
          <w:b/>
          <w:sz w:val="32"/>
          <w:szCs w:val="32"/>
          <w:u w:val="single"/>
        </w:rPr>
      </w:pPr>
      <w:bookmarkStart w:id="0" w:name="_GoBack"/>
      <w:bookmarkEnd w:id="0"/>
      <w:r>
        <w:rPr>
          <w:b/>
          <w:sz w:val="32"/>
          <w:szCs w:val="32"/>
          <w:u w:val="single"/>
        </w:rPr>
        <w:t>AUSVELS:</w:t>
      </w:r>
      <w:r w:rsidR="000B4120" w:rsidRPr="00815B62">
        <w:rPr>
          <w:b/>
          <w:sz w:val="32"/>
          <w:szCs w:val="32"/>
          <w:u w:val="single"/>
        </w:rPr>
        <w:t xml:space="preserve"> Australian MATHEMATICS </w:t>
      </w:r>
      <w:r w:rsidR="003753E1" w:rsidRPr="00815B62">
        <w:rPr>
          <w:b/>
          <w:sz w:val="32"/>
          <w:szCs w:val="32"/>
          <w:u w:val="single"/>
        </w:rPr>
        <w:t>Curriculum, F-10:</w:t>
      </w:r>
    </w:p>
    <w:p w:rsidR="001C2682" w:rsidRPr="00815B62" w:rsidRDefault="001C2682" w:rsidP="008D7B0B">
      <w:pPr>
        <w:jc w:val="center"/>
        <w:rPr>
          <w:b/>
          <w:sz w:val="32"/>
          <w:szCs w:val="32"/>
          <w:u w:val="single"/>
        </w:rPr>
      </w:pPr>
    </w:p>
    <w:p w:rsidR="003753E1" w:rsidRPr="005A2ABE" w:rsidRDefault="00FD40CF" w:rsidP="001C2682">
      <w:pPr>
        <w:jc w:val="center"/>
        <w:rPr>
          <w:b/>
          <w:sz w:val="28"/>
          <w:szCs w:val="28"/>
        </w:rPr>
      </w:pPr>
      <w:r w:rsidRPr="005A2ABE">
        <w:rPr>
          <w:b/>
          <w:sz w:val="28"/>
          <w:szCs w:val="28"/>
        </w:rPr>
        <w:t>Proficiency Strands: Understanding, Fluency, Problem Solving and Reasoning</w:t>
      </w:r>
    </w:p>
    <w:p w:rsidR="00FD40CF" w:rsidRPr="005A2ABE" w:rsidRDefault="00FD40CF" w:rsidP="001C2682">
      <w:pPr>
        <w:jc w:val="center"/>
        <w:rPr>
          <w:color w:val="0000FF"/>
          <w:sz w:val="28"/>
          <w:szCs w:val="28"/>
        </w:rPr>
      </w:pPr>
      <w:r w:rsidRPr="005A2ABE">
        <w:rPr>
          <w:b/>
          <w:sz w:val="28"/>
          <w:szCs w:val="28"/>
        </w:rPr>
        <w:t>Content Strands: Number &amp; Algebra, Measurement &amp; Geometry, Statistics &amp; Probability</w:t>
      </w:r>
    </w:p>
    <w:p w:rsidR="00D70BE3" w:rsidRPr="005A2ABE" w:rsidRDefault="00D70BE3">
      <w:pPr>
        <w:rPr>
          <w:sz w:val="28"/>
          <w:szCs w:val="28"/>
        </w:rPr>
      </w:pPr>
    </w:p>
    <w:p w:rsidR="003753E1" w:rsidRPr="005A2ABE" w:rsidRDefault="00564A3D" w:rsidP="003753E1">
      <w:pPr>
        <w:jc w:val="center"/>
        <w:rPr>
          <w:b/>
          <w:sz w:val="32"/>
          <w:szCs w:val="32"/>
        </w:rPr>
      </w:pPr>
      <w:r w:rsidRPr="005A2ABE">
        <w:rPr>
          <w:b/>
          <w:sz w:val="32"/>
          <w:szCs w:val="32"/>
        </w:rPr>
        <w:t xml:space="preserve">For </w:t>
      </w:r>
      <w:r w:rsidR="009E1646" w:rsidRPr="005A2ABE">
        <w:rPr>
          <w:b/>
          <w:sz w:val="32"/>
          <w:szCs w:val="32"/>
        </w:rPr>
        <w:t>Level</w:t>
      </w:r>
      <w:r w:rsidR="00C92842" w:rsidRPr="005A2ABE">
        <w:rPr>
          <w:b/>
          <w:sz w:val="32"/>
          <w:szCs w:val="32"/>
        </w:rPr>
        <w:t xml:space="preserve"> 10</w:t>
      </w:r>
      <w:r w:rsidR="00FD40CF" w:rsidRPr="005A2ABE">
        <w:rPr>
          <w:b/>
          <w:sz w:val="32"/>
          <w:szCs w:val="32"/>
        </w:rPr>
        <w:t xml:space="preserve"> </w:t>
      </w:r>
      <w:proofErr w:type="spellStart"/>
      <w:r w:rsidR="00FD40CF" w:rsidRPr="005A2ABE">
        <w:rPr>
          <w:b/>
          <w:sz w:val="32"/>
          <w:szCs w:val="32"/>
        </w:rPr>
        <w:t>Maths</w:t>
      </w:r>
      <w:proofErr w:type="spellEnd"/>
      <w:r w:rsidR="003E5BA0" w:rsidRPr="005A2ABE">
        <w:rPr>
          <w:b/>
          <w:sz w:val="32"/>
          <w:szCs w:val="32"/>
        </w:rPr>
        <w:t xml:space="preserve"> Students</w:t>
      </w:r>
      <w:r w:rsidR="003753E1" w:rsidRPr="005A2ABE">
        <w:rPr>
          <w:b/>
          <w:sz w:val="32"/>
          <w:szCs w:val="32"/>
        </w:rPr>
        <w:t>:</w:t>
      </w:r>
    </w:p>
    <w:p w:rsidR="003E5BA0" w:rsidRPr="005A2ABE" w:rsidRDefault="00FD40CF" w:rsidP="003E5BA0">
      <w:pPr>
        <w:pStyle w:val="ListParagraph"/>
        <w:numPr>
          <w:ilvl w:val="0"/>
          <w:numId w:val="1"/>
        </w:numPr>
        <w:rPr>
          <w:color w:val="FF0000"/>
        </w:rPr>
      </w:pPr>
      <w:r w:rsidRPr="005A2ABE">
        <w:rPr>
          <w:b/>
          <w:color w:val="FF0000"/>
        </w:rPr>
        <w:t xml:space="preserve">Understanding </w:t>
      </w:r>
      <w:r w:rsidRPr="005A2ABE">
        <w:rPr>
          <w:color w:val="FF0000"/>
        </w:rPr>
        <w:t xml:space="preserve">includes </w:t>
      </w:r>
      <w:r w:rsidR="00602820" w:rsidRPr="005A2ABE">
        <w:rPr>
          <w:color w:val="FF0000"/>
        </w:rPr>
        <w:t>de</w:t>
      </w:r>
      <w:r w:rsidR="004261AC" w:rsidRPr="005A2ABE">
        <w:rPr>
          <w:color w:val="FF0000"/>
        </w:rPr>
        <w:t xml:space="preserve">scribing </w:t>
      </w:r>
      <w:r w:rsidR="00B95D6E" w:rsidRPr="005A2ABE">
        <w:rPr>
          <w:color w:val="FF0000"/>
        </w:rPr>
        <w:t>patterns in uses of indices, applying the four operations to algebraic fractions, finding unknowns in formulas after substitution, making the connection between algebraic &amp; graphical representations of relations, connecting simple &amp; compound interest in financial contexts &amp; determining probabilities of multiple experiments</w:t>
      </w:r>
    </w:p>
    <w:p w:rsidR="003E5BA0" w:rsidRPr="005A2ABE" w:rsidRDefault="00FD40CF" w:rsidP="00FD40CF">
      <w:pPr>
        <w:pStyle w:val="ListParagraph"/>
        <w:numPr>
          <w:ilvl w:val="0"/>
          <w:numId w:val="1"/>
        </w:numPr>
        <w:rPr>
          <w:color w:val="FF0000"/>
        </w:rPr>
      </w:pPr>
      <w:r w:rsidRPr="005A2ABE">
        <w:rPr>
          <w:b/>
          <w:color w:val="FF0000"/>
        </w:rPr>
        <w:t>Fluency</w:t>
      </w:r>
      <w:r w:rsidRPr="005A2ABE">
        <w:rPr>
          <w:color w:val="FF0000"/>
        </w:rPr>
        <w:t xml:space="preserve"> inclu</w:t>
      </w:r>
      <w:r w:rsidR="00081F26" w:rsidRPr="005A2ABE">
        <w:rPr>
          <w:color w:val="FF0000"/>
        </w:rPr>
        <w:t>des formulating proofs using congruent triangles &amp; angle properties, factorizing &amp; expanding algebraic expressions, using a range of strategies to solve equations &amp; using calculations to investigate</w:t>
      </w:r>
      <w:r w:rsidR="00594040" w:rsidRPr="005A2ABE">
        <w:rPr>
          <w:color w:val="FF0000"/>
        </w:rPr>
        <w:t xml:space="preserve"> the shape of data sets</w:t>
      </w:r>
    </w:p>
    <w:p w:rsidR="003E5BA0" w:rsidRPr="005A2ABE" w:rsidRDefault="00FD40CF" w:rsidP="003E5BA0">
      <w:pPr>
        <w:pStyle w:val="ListParagraph"/>
        <w:numPr>
          <w:ilvl w:val="0"/>
          <w:numId w:val="1"/>
        </w:numPr>
        <w:rPr>
          <w:color w:val="FF0000"/>
        </w:rPr>
      </w:pPr>
      <w:r w:rsidRPr="005A2ABE">
        <w:rPr>
          <w:b/>
          <w:color w:val="FF0000"/>
        </w:rPr>
        <w:t>Problem Solving</w:t>
      </w:r>
      <w:r w:rsidRPr="005A2ABE">
        <w:rPr>
          <w:color w:val="FF0000"/>
        </w:rPr>
        <w:t xml:space="preserve"> inclu</w:t>
      </w:r>
      <w:r w:rsidR="00602820" w:rsidRPr="005A2ABE">
        <w:rPr>
          <w:color w:val="FF0000"/>
        </w:rPr>
        <w:t xml:space="preserve">des calculating </w:t>
      </w:r>
      <w:r w:rsidR="00B238ED" w:rsidRPr="005A2ABE">
        <w:rPr>
          <w:color w:val="FF0000"/>
        </w:rPr>
        <w:t>the surface area</w:t>
      </w:r>
      <w:r w:rsidR="00602820" w:rsidRPr="005A2ABE">
        <w:rPr>
          <w:color w:val="FF0000"/>
        </w:rPr>
        <w:t xml:space="preserve"> and volume</w:t>
      </w:r>
      <w:r w:rsidR="00B238ED" w:rsidRPr="005A2ABE">
        <w:rPr>
          <w:color w:val="FF0000"/>
        </w:rPr>
        <w:t>s of a diverse range of prisms, finding unknown lengths &amp; angles using applications of trigonometry, using algebraic &amp; graphical techniques to find solutions to simultaneous equations &amp; inequalities, &amp; investigating independence of events &amp; their probab</w:t>
      </w:r>
      <w:r w:rsidR="00815B62" w:rsidRPr="005A2ABE">
        <w:rPr>
          <w:color w:val="FF0000"/>
        </w:rPr>
        <w:t>i</w:t>
      </w:r>
      <w:r w:rsidR="00B238ED" w:rsidRPr="005A2ABE">
        <w:rPr>
          <w:color w:val="FF0000"/>
        </w:rPr>
        <w:t>lities</w:t>
      </w:r>
    </w:p>
    <w:p w:rsidR="00C40806" w:rsidRPr="005A2ABE" w:rsidRDefault="00C35BA5" w:rsidP="006713F4">
      <w:pPr>
        <w:pStyle w:val="ListParagraph"/>
        <w:numPr>
          <w:ilvl w:val="0"/>
          <w:numId w:val="1"/>
        </w:numPr>
        <w:rPr>
          <w:color w:val="FF0000"/>
        </w:rPr>
      </w:pPr>
      <w:r w:rsidRPr="005A2ABE">
        <w:rPr>
          <w:b/>
          <w:color w:val="FF0000"/>
        </w:rPr>
        <w:t xml:space="preserve">Reasoning </w:t>
      </w:r>
      <w:r w:rsidRPr="005A2ABE">
        <w:rPr>
          <w:color w:val="FF0000"/>
        </w:rPr>
        <w:t xml:space="preserve">includes </w:t>
      </w:r>
      <w:r w:rsidR="001C1A06" w:rsidRPr="005A2ABE">
        <w:rPr>
          <w:color w:val="FF0000"/>
        </w:rPr>
        <w:t>formulating geometric proofs involving congruence &amp; similarity, interpreting &amp; evaluating media statements &amp; interpreting &amp; comparing data sets</w:t>
      </w:r>
    </w:p>
    <w:p w:rsidR="00C35BA5" w:rsidRPr="00A94D7A" w:rsidRDefault="00D70BE3" w:rsidP="00A94D7A">
      <w:pPr>
        <w:jc w:val="center"/>
      </w:pPr>
      <w:r w:rsidRPr="00815B62">
        <w:t xml:space="preserve">*This document intends to assist </w:t>
      </w:r>
      <w:r w:rsidR="003902C6" w:rsidRPr="00815B62">
        <w:t>teachers in their understanding</w:t>
      </w:r>
      <w:r w:rsidRPr="00815B62">
        <w:t xml:space="preserve"> of the Australian curricu</w:t>
      </w:r>
      <w:r w:rsidR="0078213C" w:rsidRPr="00815B62">
        <w:t>lum</w:t>
      </w:r>
      <w:r w:rsidR="0057120C">
        <w:t xml:space="preserve"> through </w:t>
      </w:r>
      <w:proofErr w:type="spellStart"/>
      <w:r w:rsidR="0057120C">
        <w:t>AusVELS</w:t>
      </w:r>
      <w:proofErr w:type="spellEnd"/>
      <w:r w:rsidR="0057120C">
        <w:t xml:space="preserve"> –</w:t>
      </w:r>
      <w:r w:rsidRPr="00815B62">
        <w:t xml:space="preserve"> it combines description and </w:t>
      </w:r>
      <w:r w:rsidRPr="0057120C">
        <w:rPr>
          <w:color w:val="0000FF"/>
        </w:rPr>
        <w:t xml:space="preserve">elaboration </w:t>
      </w:r>
      <w:r w:rsidRPr="00815B62">
        <w:t>statements. Teachers are advised to consult the online documentation to clarify fu</w:t>
      </w:r>
      <w:r w:rsidR="0057120C">
        <w:t xml:space="preserve">rther detail for </w:t>
      </w:r>
      <w:proofErr w:type="gramStart"/>
      <w:r w:rsidR="0057120C">
        <w:t>themselves</w:t>
      </w:r>
      <w:proofErr w:type="gramEnd"/>
      <w:r w:rsidR="0057120C">
        <w:t>. ‘</w:t>
      </w:r>
      <w:proofErr w:type="spellStart"/>
      <w:r w:rsidR="0057120C">
        <w:t>AusVELS</w:t>
      </w:r>
      <w:proofErr w:type="spellEnd"/>
      <w:r w:rsidR="0057120C">
        <w:t>’ is</w:t>
      </w:r>
      <w:r w:rsidRPr="00815B62">
        <w:t xml:space="preserve"> the official documentation for Victorian school</w:t>
      </w:r>
      <w:r w:rsidR="006B40D5" w:rsidRPr="00815B62">
        <w:t>s.</w:t>
      </w:r>
    </w:p>
    <w:p w:rsidR="00C40806" w:rsidRPr="00D70BE3" w:rsidRDefault="00C40806" w:rsidP="00D70BE3">
      <w:pPr>
        <w:jc w:val="center"/>
        <w:rPr>
          <w:sz w:val="22"/>
          <w:szCs w:val="22"/>
        </w:rPr>
      </w:pPr>
    </w:p>
    <w:tbl>
      <w:tblPr>
        <w:tblStyle w:val="TableGrid"/>
        <w:tblW w:w="0" w:type="auto"/>
        <w:tblInd w:w="468" w:type="dxa"/>
        <w:tblLook w:val="04A0" w:firstRow="1" w:lastRow="0" w:firstColumn="1" w:lastColumn="0" w:noHBand="0" w:noVBand="1"/>
      </w:tblPr>
      <w:tblGrid>
        <w:gridCol w:w="5040"/>
        <w:gridCol w:w="5130"/>
        <w:gridCol w:w="5130"/>
      </w:tblGrid>
      <w:tr w:rsidR="000B166B" w:rsidTr="0042138B">
        <w:tc>
          <w:tcPr>
            <w:tcW w:w="5040" w:type="dxa"/>
            <w:shd w:val="clear" w:color="auto" w:fill="E0FFEC"/>
          </w:tcPr>
          <w:p w:rsidR="00A45E99" w:rsidRPr="00927263" w:rsidRDefault="00461BBE" w:rsidP="00A45E99">
            <w:pPr>
              <w:rPr>
                <w:b/>
                <w:sz w:val="36"/>
                <w:szCs w:val="36"/>
              </w:rPr>
            </w:pPr>
            <w:r w:rsidRPr="00927263">
              <w:rPr>
                <w:b/>
                <w:sz w:val="36"/>
                <w:szCs w:val="36"/>
              </w:rPr>
              <w:t>Number &amp; Algebra</w:t>
            </w:r>
            <w:r w:rsidR="00A45E99" w:rsidRPr="00927263">
              <w:rPr>
                <w:b/>
                <w:sz w:val="36"/>
                <w:szCs w:val="36"/>
              </w:rPr>
              <w:t>:</w:t>
            </w:r>
          </w:p>
        </w:tc>
        <w:tc>
          <w:tcPr>
            <w:tcW w:w="5130" w:type="dxa"/>
            <w:shd w:val="clear" w:color="auto" w:fill="CCFFFF"/>
          </w:tcPr>
          <w:p w:rsidR="00A45E99" w:rsidRPr="00927263" w:rsidRDefault="00FD1908" w:rsidP="00A45E99">
            <w:pPr>
              <w:rPr>
                <w:b/>
                <w:sz w:val="36"/>
                <w:szCs w:val="36"/>
              </w:rPr>
            </w:pPr>
            <w:r w:rsidRPr="00927263">
              <w:rPr>
                <w:b/>
                <w:sz w:val="36"/>
                <w:szCs w:val="36"/>
              </w:rPr>
              <w:t>Measurement &amp; Geometry</w:t>
            </w:r>
            <w:r w:rsidR="00DD4C34" w:rsidRPr="00927263">
              <w:rPr>
                <w:b/>
                <w:sz w:val="36"/>
                <w:szCs w:val="36"/>
              </w:rPr>
              <w:t>:</w:t>
            </w:r>
          </w:p>
        </w:tc>
        <w:tc>
          <w:tcPr>
            <w:tcW w:w="5130" w:type="dxa"/>
            <w:shd w:val="clear" w:color="auto" w:fill="E3D8FF"/>
          </w:tcPr>
          <w:p w:rsidR="00A45E99" w:rsidRPr="00927263" w:rsidRDefault="004A3C97" w:rsidP="00A45E99">
            <w:pPr>
              <w:rPr>
                <w:b/>
                <w:sz w:val="36"/>
                <w:szCs w:val="36"/>
              </w:rPr>
            </w:pPr>
            <w:r w:rsidRPr="00927263">
              <w:rPr>
                <w:b/>
                <w:sz w:val="36"/>
                <w:szCs w:val="36"/>
              </w:rPr>
              <w:t>Statistics &amp; Probability</w:t>
            </w:r>
            <w:r w:rsidR="00572232" w:rsidRPr="00927263">
              <w:rPr>
                <w:b/>
                <w:sz w:val="36"/>
                <w:szCs w:val="36"/>
              </w:rPr>
              <w:t>:</w:t>
            </w:r>
          </w:p>
        </w:tc>
      </w:tr>
      <w:tr w:rsidR="000B166B" w:rsidTr="00B97F28">
        <w:tc>
          <w:tcPr>
            <w:tcW w:w="5040" w:type="dxa"/>
            <w:tcBorders>
              <w:bottom w:val="single" w:sz="4" w:space="0" w:color="auto"/>
            </w:tcBorders>
            <w:shd w:val="clear" w:color="auto" w:fill="E0FFEC"/>
          </w:tcPr>
          <w:p w:rsidR="008F7682" w:rsidRDefault="00DA11AA" w:rsidP="008F7682">
            <w:pPr>
              <w:rPr>
                <w:b/>
                <w:sz w:val="32"/>
                <w:szCs w:val="32"/>
              </w:rPr>
            </w:pPr>
            <w:r w:rsidRPr="00815B62">
              <w:rPr>
                <w:b/>
                <w:sz w:val="32"/>
                <w:szCs w:val="32"/>
              </w:rPr>
              <w:t>Money &amp; Financial</w:t>
            </w:r>
            <w:r w:rsidR="00B914F4" w:rsidRPr="00815B62">
              <w:rPr>
                <w:b/>
                <w:sz w:val="32"/>
                <w:szCs w:val="32"/>
              </w:rPr>
              <w:t xml:space="preserve"> </w:t>
            </w:r>
            <w:proofErr w:type="spellStart"/>
            <w:r w:rsidR="00B914F4" w:rsidRPr="00815B62">
              <w:rPr>
                <w:b/>
                <w:sz w:val="32"/>
                <w:szCs w:val="32"/>
              </w:rPr>
              <w:t>maths</w:t>
            </w:r>
            <w:proofErr w:type="spellEnd"/>
            <w:r w:rsidR="008F7682" w:rsidRPr="00815B62">
              <w:rPr>
                <w:b/>
                <w:sz w:val="32"/>
                <w:szCs w:val="32"/>
              </w:rPr>
              <w:t>:</w:t>
            </w:r>
          </w:p>
          <w:p w:rsidR="007E6A32" w:rsidRDefault="007E6A32" w:rsidP="008F7682">
            <w:pPr>
              <w:rPr>
                <w:rFonts w:ascii="Helvetica" w:hAnsi="Helvetica" w:cs="Helvetica"/>
                <w:color w:val="000000"/>
                <w:sz w:val="18"/>
                <w:szCs w:val="18"/>
              </w:rPr>
            </w:pPr>
            <w:r>
              <w:rPr>
                <w:rFonts w:ascii="Helvetica" w:hAnsi="Helvetica" w:cs="Helvetica"/>
                <w:color w:val="000000"/>
                <w:sz w:val="18"/>
                <w:szCs w:val="18"/>
              </w:rPr>
              <w:t>Connect the compound interest formula to repeated applications of simple interest using appropriate digital technologies (ACMNA229)</w:t>
            </w:r>
          </w:p>
          <w:p w:rsidR="007E6A32" w:rsidRPr="00AB30EB" w:rsidRDefault="007E6A32" w:rsidP="007E6A32">
            <w:pPr>
              <w:pStyle w:val="ListParagraph"/>
              <w:numPr>
                <w:ilvl w:val="0"/>
                <w:numId w:val="14"/>
              </w:numPr>
              <w:rPr>
                <w:b/>
                <w:color w:val="0000FF"/>
                <w:sz w:val="32"/>
                <w:szCs w:val="32"/>
              </w:rPr>
            </w:pPr>
            <w:r w:rsidRPr="00AB30EB">
              <w:rPr>
                <w:rFonts w:ascii="Helvetica" w:hAnsi="Helvetica" w:cs="Helvetica"/>
                <w:color w:val="0000FF"/>
                <w:sz w:val="18"/>
                <w:szCs w:val="18"/>
              </w:rPr>
              <w:t>working with authentic information, data and interest rates to calculate compound interest and solve related problems</w:t>
            </w:r>
          </w:p>
          <w:p w:rsidR="006948CB" w:rsidRDefault="00B914F4" w:rsidP="006948CB">
            <w:pPr>
              <w:rPr>
                <w:b/>
                <w:sz w:val="32"/>
                <w:szCs w:val="32"/>
              </w:rPr>
            </w:pPr>
            <w:r w:rsidRPr="00815B62">
              <w:rPr>
                <w:b/>
                <w:sz w:val="32"/>
                <w:szCs w:val="32"/>
              </w:rPr>
              <w:t>Patterns &amp; algebra</w:t>
            </w:r>
            <w:r w:rsidR="006948CB" w:rsidRPr="00815B62">
              <w:rPr>
                <w:b/>
                <w:sz w:val="32"/>
                <w:szCs w:val="32"/>
              </w:rPr>
              <w:t>:</w:t>
            </w:r>
          </w:p>
          <w:p w:rsidR="007E6A32" w:rsidRDefault="007E6A32" w:rsidP="006948CB">
            <w:pPr>
              <w:rPr>
                <w:rFonts w:ascii="Helvetica" w:hAnsi="Helvetica" w:cs="Helvetica"/>
                <w:color w:val="000000"/>
                <w:sz w:val="18"/>
                <w:szCs w:val="18"/>
              </w:rPr>
            </w:pPr>
            <w:proofErr w:type="spellStart"/>
            <w:r>
              <w:rPr>
                <w:rFonts w:ascii="Helvetica" w:hAnsi="Helvetica" w:cs="Helvetica"/>
                <w:color w:val="000000"/>
                <w:sz w:val="18"/>
                <w:szCs w:val="18"/>
              </w:rPr>
              <w:t>Factorise</w:t>
            </w:r>
            <w:proofErr w:type="spellEnd"/>
            <w:r>
              <w:rPr>
                <w:rFonts w:ascii="Helvetica" w:hAnsi="Helvetica" w:cs="Helvetica"/>
                <w:color w:val="000000"/>
                <w:sz w:val="18"/>
                <w:szCs w:val="18"/>
              </w:rPr>
              <w:t xml:space="preserve"> algebraic expressions by taking out a common algebraic factor (ACMNA230)</w:t>
            </w:r>
          </w:p>
          <w:p w:rsidR="007E6A32" w:rsidRPr="00AB30EB" w:rsidRDefault="007E6A32" w:rsidP="007E6A32">
            <w:pPr>
              <w:pStyle w:val="ListParagraph"/>
              <w:numPr>
                <w:ilvl w:val="0"/>
                <w:numId w:val="14"/>
              </w:numPr>
              <w:rPr>
                <w:b/>
                <w:color w:val="0000FF"/>
                <w:sz w:val="32"/>
                <w:szCs w:val="32"/>
              </w:rPr>
            </w:pPr>
            <w:proofErr w:type="spellStart"/>
            <w:r w:rsidRPr="00AB30EB">
              <w:rPr>
                <w:rFonts w:ascii="Helvetica" w:hAnsi="Helvetica" w:cs="Helvetica"/>
                <w:color w:val="0000FF"/>
                <w:sz w:val="18"/>
                <w:szCs w:val="18"/>
              </w:rPr>
              <w:t>factorising</w:t>
            </w:r>
            <w:proofErr w:type="spellEnd"/>
            <w:r w:rsidRPr="00AB30EB">
              <w:rPr>
                <w:rFonts w:ascii="Helvetica" w:hAnsi="Helvetica" w:cs="Helvetica"/>
                <w:color w:val="0000FF"/>
                <w:sz w:val="18"/>
                <w:szCs w:val="18"/>
              </w:rPr>
              <w:t xml:space="preserve"> a range of expressions by taking out a common factor, including those where the common factor is an algebraic expression</w:t>
            </w:r>
          </w:p>
          <w:p w:rsidR="007E6A32" w:rsidRDefault="007E6A32" w:rsidP="007E6A32">
            <w:pPr>
              <w:rPr>
                <w:rFonts w:ascii="Helvetica" w:hAnsi="Helvetica" w:cs="Helvetica"/>
                <w:color w:val="000000"/>
                <w:sz w:val="18"/>
                <w:szCs w:val="18"/>
              </w:rPr>
            </w:pPr>
            <w:r>
              <w:rPr>
                <w:rFonts w:ascii="Helvetica" w:hAnsi="Helvetica" w:cs="Helvetica"/>
                <w:color w:val="000000"/>
                <w:sz w:val="18"/>
                <w:szCs w:val="18"/>
              </w:rPr>
              <w:t>Simplify algebraic products and quotients using index laws (ACMNA231)</w:t>
            </w:r>
          </w:p>
          <w:p w:rsidR="007E6A32" w:rsidRPr="00AB30EB" w:rsidRDefault="007E6A32" w:rsidP="007E6A32">
            <w:pPr>
              <w:pStyle w:val="ListParagraph"/>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18"/>
                <w:szCs w:val="18"/>
              </w:rPr>
            </w:pPr>
            <w:r w:rsidRPr="00AB30EB">
              <w:rPr>
                <w:rFonts w:ascii="Helvetica" w:hAnsi="Helvetica" w:cs="Helvetica"/>
                <w:color w:val="0000FF"/>
                <w:sz w:val="18"/>
                <w:szCs w:val="18"/>
              </w:rPr>
              <w:t>understanding that the use of index notation is an efficient way of representing numbers and symbols and has many applications, particularly in science</w:t>
            </w:r>
          </w:p>
          <w:p w:rsidR="007E6A32" w:rsidRPr="00AB30EB" w:rsidRDefault="007E6A32" w:rsidP="007E6A32">
            <w:pPr>
              <w:pStyle w:val="ListParagraph"/>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18"/>
                <w:szCs w:val="18"/>
              </w:rPr>
            </w:pPr>
            <w:r w:rsidRPr="00AB30EB">
              <w:rPr>
                <w:rFonts w:ascii="Helvetica" w:hAnsi="Helvetica" w:cs="Helvetica"/>
                <w:color w:val="0000FF"/>
                <w:sz w:val="18"/>
                <w:szCs w:val="18"/>
              </w:rPr>
              <w:t>connecting different strategies for simplifying expressions with indices to illustrate the meaning of negative indices, expanding and simplifying results</w:t>
            </w:r>
          </w:p>
          <w:p w:rsidR="007E6A32" w:rsidRPr="00AB30EB" w:rsidRDefault="007E6A32" w:rsidP="007E6A32">
            <w:pPr>
              <w:pStyle w:val="ListParagraph"/>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18"/>
                <w:szCs w:val="18"/>
              </w:rPr>
            </w:pPr>
            <w:r w:rsidRPr="00AB30EB">
              <w:rPr>
                <w:rFonts w:ascii="Helvetica" w:hAnsi="Helvetica" w:cs="Helvetica"/>
                <w:color w:val="0000FF"/>
                <w:sz w:val="18"/>
                <w:szCs w:val="18"/>
              </w:rPr>
              <w:t>moving fluently between representations of numeric and algebraic terms with negative indices, and applying understanding of negative indices to calculations</w:t>
            </w:r>
          </w:p>
          <w:p w:rsidR="007E6A32" w:rsidRPr="00AB30EB" w:rsidRDefault="007E6A32" w:rsidP="007E6A32">
            <w:pPr>
              <w:pStyle w:val="ListParagraph"/>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18"/>
                <w:szCs w:val="18"/>
              </w:rPr>
            </w:pPr>
            <w:r w:rsidRPr="00AB30EB">
              <w:rPr>
                <w:rFonts w:ascii="Helvetica" w:hAnsi="Helvetica" w:cs="Helvetica"/>
                <w:color w:val="0000FF"/>
                <w:sz w:val="18"/>
                <w:szCs w:val="18"/>
              </w:rPr>
              <w:t>applying knowledge of index laws to algebraic terms, and simplifying algebraic expressions using both positive and negative integral indices</w:t>
            </w:r>
          </w:p>
          <w:p w:rsidR="007E6A32" w:rsidRDefault="007E6A32" w:rsidP="007E6A32">
            <w:pPr>
              <w:rPr>
                <w:rFonts w:ascii="Helvetica" w:hAnsi="Helvetica" w:cs="Helvetica"/>
                <w:color w:val="000000"/>
                <w:sz w:val="18"/>
                <w:szCs w:val="18"/>
              </w:rPr>
            </w:pPr>
            <w:r>
              <w:rPr>
                <w:rFonts w:ascii="Helvetica" w:hAnsi="Helvetica" w:cs="Helvetica"/>
                <w:color w:val="000000"/>
                <w:sz w:val="18"/>
                <w:szCs w:val="18"/>
              </w:rPr>
              <w:t>Apply the four operations to simple algebraic fractions with numerical denominators (ACMNA232)</w:t>
            </w:r>
          </w:p>
          <w:p w:rsidR="007E6A32" w:rsidRPr="00AB30EB" w:rsidRDefault="007E6A32" w:rsidP="007E6A32">
            <w:pPr>
              <w:pStyle w:val="ListParagraph"/>
              <w:numPr>
                <w:ilvl w:val="0"/>
                <w:numId w:val="15"/>
              </w:numPr>
              <w:rPr>
                <w:rFonts w:ascii="Helvetica" w:hAnsi="Helvetica" w:cs="Helvetica"/>
                <w:color w:val="0000FF"/>
                <w:sz w:val="18"/>
                <w:szCs w:val="18"/>
              </w:rPr>
            </w:pPr>
            <w:r w:rsidRPr="00AB30EB">
              <w:rPr>
                <w:rFonts w:ascii="Helvetica" w:hAnsi="Helvetica" w:cs="Helvetica"/>
                <w:color w:val="0000FF"/>
                <w:sz w:val="18"/>
                <w:szCs w:val="18"/>
              </w:rPr>
              <w:t>solving a wide range of linear equations, including those involving one or two simple algebraic fractions, and checking solutions by substitution</w:t>
            </w:r>
          </w:p>
          <w:p w:rsidR="007E6A32" w:rsidRDefault="007E6A32" w:rsidP="007E6A32">
            <w:pPr>
              <w:rPr>
                <w:rFonts w:ascii="Helvetica" w:hAnsi="Helvetica" w:cs="Helvetica"/>
                <w:color w:val="000000"/>
                <w:sz w:val="18"/>
                <w:szCs w:val="18"/>
              </w:rPr>
            </w:pPr>
            <w:r>
              <w:rPr>
                <w:rFonts w:ascii="Helvetica" w:hAnsi="Helvetica" w:cs="Helvetica"/>
                <w:color w:val="000000"/>
                <w:sz w:val="18"/>
                <w:szCs w:val="18"/>
              </w:rPr>
              <w:t xml:space="preserve">Expand binomial products and </w:t>
            </w:r>
            <w:proofErr w:type="spellStart"/>
            <w:r>
              <w:rPr>
                <w:rFonts w:ascii="Helvetica" w:hAnsi="Helvetica" w:cs="Helvetica"/>
                <w:color w:val="000000"/>
                <w:sz w:val="18"/>
                <w:szCs w:val="18"/>
              </w:rPr>
              <w:t>factorise</w:t>
            </w:r>
            <w:proofErr w:type="spellEnd"/>
            <w:r>
              <w:rPr>
                <w:rFonts w:ascii="Helvetica" w:hAnsi="Helvetica" w:cs="Helvetica"/>
                <w:color w:val="000000"/>
                <w:sz w:val="18"/>
                <w:szCs w:val="18"/>
              </w:rPr>
              <w:t xml:space="preserve"> </w:t>
            </w:r>
            <w:proofErr w:type="spellStart"/>
            <w:r>
              <w:rPr>
                <w:rFonts w:ascii="Helvetica" w:hAnsi="Helvetica" w:cs="Helvetica"/>
                <w:color w:val="000000"/>
                <w:sz w:val="18"/>
                <w:szCs w:val="18"/>
              </w:rPr>
              <w:t>monic</w:t>
            </w:r>
            <w:proofErr w:type="spellEnd"/>
            <w:r>
              <w:rPr>
                <w:rFonts w:ascii="Helvetica" w:hAnsi="Helvetica" w:cs="Helvetica"/>
                <w:color w:val="000000"/>
                <w:sz w:val="18"/>
                <w:szCs w:val="18"/>
              </w:rPr>
              <w:t xml:space="preserve"> quadratic expressions using a variety of strategies (ACMNA233)</w:t>
            </w:r>
          </w:p>
          <w:p w:rsidR="007E6A32" w:rsidRPr="00AB30EB" w:rsidRDefault="007E6A32" w:rsidP="007E6A32">
            <w:pPr>
              <w:pStyle w:val="ListParagraph"/>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18"/>
                <w:szCs w:val="18"/>
              </w:rPr>
            </w:pPr>
            <w:r w:rsidRPr="00AB30EB">
              <w:rPr>
                <w:rFonts w:ascii="Helvetica" w:hAnsi="Helvetica" w:cs="Helvetica"/>
                <w:color w:val="0000FF"/>
                <w:sz w:val="18"/>
                <w:szCs w:val="18"/>
              </w:rPr>
              <w:t xml:space="preserve">identifying and using common factors, including binomial terms, to </w:t>
            </w:r>
            <w:proofErr w:type="spellStart"/>
            <w:r w:rsidRPr="00AB30EB">
              <w:rPr>
                <w:rFonts w:ascii="Helvetica" w:hAnsi="Helvetica" w:cs="Helvetica"/>
                <w:color w:val="0000FF"/>
                <w:sz w:val="18"/>
                <w:szCs w:val="18"/>
              </w:rPr>
              <w:t>factorise</w:t>
            </w:r>
            <w:proofErr w:type="spellEnd"/>
            <w:r w:rsidRPr="00AB30EB">
              <w:rPr>
                <w:rFonts w:ascii="Helvetica" w:hAnsi="Helvetica" w:cs="Helvetica"/>
                <w:color w:val="0000FF"/>
                <w:sz w:val="18"/>
                <w:szCs w:val="18"/>
              </w:rPr>
              <w:t xml:space="preserve"> algebraic expressions using the technique of grouping in pairs to </w:t>
            </w:r>
            <w:proofErr w:type="spellStart"/>
            <w:r w:rsidRPr="00AB30EB">
              <w:rPr>
                <w:rFonts w:ascii="Helvetica" w:hAnsi="Helvetica" w:cs="Helvetica"/>
                <w:color w:val="0000FF"/>
                <w:sz w:val="18"/>
                <w:szCs w:val="18"/>
              </w:rPr>
              <w:t>factorise</w:t>
            </w:r>
            <w:proofErr w:type="spellEnd"/>
            <w:r w:rsidRPr="00AB30EB">
              <w:rPr>
                <w:rFonts w:ascii="Helvetica" w:hAnsi="Helvetica" w:cs="Helvetica"/>
                <w:color w:val="0000FF"/>
                <w:sz w:val="18"/>
                <w:szCs w:val="18"/>
              </w:rPr>
              <w:t xml:space="preserve"> algebraic expressions with four terms</w:t>
            </w:r>
          </w:p>
          <w:p w:rsidR="007E6A32" w:rsidRPr="00AB30EB" w:rsidRDefault="007E6A32" w:rsidP="007E6A32">
            <w:pPr>
              <w:pStyle w:val="ListParagraph"/>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18"/>
                <w:szCs w:val="18"/>
              </w:rPr>
            </w:pPr>
            <w:r w:rsidRPr="00AB30EB">
              <w:rPr>
                <w:rFonts w:ascii="Helvetica" w:hAnsi="Helvetica" w:cs="Helvetica"/>
                <w:color w:val="0000FF"/>
                <w:sz w:val="18"/>
                <w:szCs w:val="18"/>
              </w:rPr>
              <w:t>using expansion patterns for the special binomial products (a + b)(a ­ b) and (a ± b)</w:t>
            </w:r>
            <w:r w:rsidRPr="00AB30EB">
              <w:rPr>
                <w:rFonts w:ascii="Helvetica" w:hAnsi="Helvetica" w:cs="Helvetica"/>
                <w:color w:val="0000FF"/>
                <w:sz w:val="12"/>
                <w:szCs w:val="12"/>
              </w:rPr>
              <w:t xml:space="preserve">2 </w:t>
            </w:r>
            <w:r w:rsidRPr="00AB30EB">
              <w:rPr>
                <w:rFonts w:ascii="Helvetica" w:hAnsi="Helvetica" w:cs="Helvetica"/>
                <w:color w:val="0000FF"/>
                <w:sz w:val="18"/>
                <w:szCs w:val="18"/>
              </w:rPr>
              <w:t xml:space="preserve">inversely to </w:t>
            </w:r>
            <w:proofErr w:type="spellStart"/>
            <w:r w:rsidRPr="00AB30EB">
              <w:rPr>
                <w:rFonts w:ascii="Helvetica" w:hAnsi="Helvetica" w:cs="Helvetica"/>
                <w:color w:val="0000FF"/>
                <w:sz w:val="18"/>
                <w:szCs w:val="18"/>
              </w:rPr>
              <w:t>factorise</w:t>
            </w:r>
            <w:proofErr w:type="spellEnd"/>
            <w:r w:rsidRPr="00AB30EB">
              <w:rPr>
                <w:rFonts w:ascii="Helvetica" w:hAnsi="Helvetica" w:cs="Helvetica"/>
                <w:color w:val="0000FF"/>
                <w:sz w:val="18"/>
                <w:szCs w:val="18"/>
              </w:rPr>
              <w:t xml:space="preserve"> quadratic</w:t>
            </w:r>
          </w:p>
          <w:p w:rsidR="007E6A32" w:rsidRPr="00AB30EB" w:rsidRDefault="007E6A32" w:rsidP="007E6A32">
            <w:pPr>
              <w:pStyle w:val="ListParagraph"/>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18"/>
                <w:szCs w:val="18"/>
              </w:rPr>
            </w:pPr>
            <w:r w:rsidRPr="00AB30EB">
              <w:rPr>
                <w:rFonts w:ascii="Helvetica" w:hAnsi="Helvetica" w:cs="Helvetica"/>
                <w:color w:val="0000FF"/>
                <w:sz w:val="18"/>
                <w:szCs w:val="18"/>
              </w:rPr>
              <w:t xml:space="preserve">using the area model inversely to </w:t>
            </w:r>
            <w:proofErr w:type="spellStart"/>
            <w:r w:rsidRPr="00AB30EB">
              <w:rPr>
                <w:rFonts w:ascii="Helvetica" w:hAnsi="Helvetica" w:cs="Helvetica"/>
                <w:color w:val="0000FF"/>
                <w:sz w:val="18"/>
                <w:szCs w:val="18"/>
              </w:rPr>
              <w:t>factorise</w:t>
            </w:r>
            <w:proofErr w:type="spellEnd"/>
            <w:r w:rsidRPr="00AB30EB">
              <w:rPr>
                <w:rFonts w:ascii="Helvetica" w:hAnsi="Helvetica" w:cs="Helvetica"/>
                <w:color w:val="0000FF"/>
                <w:sz w:val="18"/>
                <w:szCs w:val="18"/>
              </w:rPr>
              <w:t xml:space="preserve"> quadratic expressions of the form ax</w:t>
            </w:r>
            <w:r w:rsidRPr="00AB30EB">
              <w:rPr>
                <w:rFonts w:ascii="Helvetica" w:hAnsi="Helvetica" w:cs="Helvetica"/>
                <w:color w:val="0000FF"/>
                <w:sz w:val="12"/>
                <w:szCs w:val="12"/>
              </w:rPr>
              <w:t xml:space="preserve">2 </w:t>
            </w:r>
            <w:r w:rsidRPr="00AB30EB">
              <w:rPr>
                <w:rFonts w:ascii="Helvetica" w:hAnsi="Helvetica" w:cs="Helvetica"/>
                <w:color w:val="0000FF"/>
                <w:sz w:val="18"/>
                <w:szCs w:val="18"/>
              </w:rPr>
              <w:t xml:space="preserve">+ </w:t>
            </w:r>
            <w:proofErr w:type="spellStart"/>
            <w:r w:rsidRPr="00AB30EB">
              <w:rPr>
                <w:rFonts w:ascii="Helvetica" w:hAnsi="Helvetica" w:cs="Helvetica"/>
                <w:color w:val="0000FF"/>
                <w:sz w:val="18"/>
                <w:szCs w:val="18"/>
              </w:rPr>
              <w:t>bx</w:t>
            </w:r>
            <w:proofErr w:type="spellEnd"/>
            <w:r w:rsidRPr="00AB30EB">
              <w:rPr>
                <w:rFonts w:ascii="Helvetica" w:hAnsi="Helvetica" w:cs="Helvetica"/>
                <w:color w:val="0000FF"/>
                <w:sz w:val="18"/>
                <w:szCs w:val="18"/>
              </w:rPr>
              <w:t xml:space="preserve"> + c, where a= ±1</w:t>
            </w:r>
          </w:p>
          <w:p w:rsidR="007E6A32" w:rsidRPr="00AB30EB" w:rsidRDefault="007E6A32" w:rsidP="007E6A32">
            <w:pPr>
              <w:pStyle w:val="ListParagraph"/>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18"/>
                <w:szCs w:val="18"/>
              </w:rPr>
            </w:pPr>
            <w:r w:rsidRPr="00AB30EB">
              <w:rPr>
                <w:rFonts w:ascii="Helvetica" w:hAnsi="Helvetica" w:cs="Helvetica"/>
                <w:color w:val="0000FF"/>
                <w:sz w:val="18"/>
                <w:szCs w:val="18"/>
              </w:rPr>
              <w:t xml:space="preserve">exploring the method of completing the square to </w:t>
            </w:r>
            <w:proofErr w:type="spellStart"/>
            <w:r w:rsidRPr="00AB30EB">
              <w:rPr>
                <w:rFonts w:ascii="Helvetica" w:hAnsi="Helvetica" w:cs="Helvetica"/>
                <w:color w:val="0000FF"/>
                <w:sz w:val="18"/>
                <w:szCs w:val="18"/>
              </w:rPr>
              <w:t>factorise</w:t>
            </w:r>
            <w:proofErr w:type="spellEnd"/>
            <w:r w:rsidRPr="00AB30EB">
              <w:rPr>
                <w:rFonts w:ascii="Helvetica" w:hAnsi="Helvetica" w:cs="Helvetica"/>
                <w:color w:val="0000FF"/>
                <w:sz w:val="18"/>
                <w:szCs w:val="18"/>
              </w:rPr>
              <w:t xml:space="preserve"> quadratic expressions and solve quadratic equations</w:t>
            </w:r>
          </w:p>
          <w:p w:rsidR="007E6A32" w:rsidRDefault="007E6A32" w:rsidP="007E6A32">
            <w:pPr>
              <w:rPr>
                <w:rFonts w:ascii="Helvetica" w:hAnsi="Helvetica" w:cs="Helvetica"/>
                <w:color w:val="000000"/>
                <w:sz w:val="18"/>
                <w:szCs w:val="18"/>
              </w:rPr>
            </w:pPr>
            <w:r>
              <w:rPr>
                <w:rFonts w:ascii="Helvetica" w:hAnsi="Helvetica" w:cs="Helvetica"/>
                <w:color w:val="000000"/>
                <w:sz w:val="18"/>
                <w:szCs w:val="18"/>
              </w:rPr>
              <w:t>Substitute values into formulas to determine an unknown (ACMNA234)</w:t>
            </w:r>
          </w:p>
          <w:p w:rsidR="007E6A32" w:rsidRPr="00AB30EB" w:rsidRDefault="007E6A32" w:rsidP="006948CB">
            <w:pPr>
              <w:pStyle w:val="ListParagraph"/>
              <w:numPr>
                <w:ilvl w:val="0"/>
                <w:numId w:val="17"/>
              </w:numPr>
              <w:rPr>
                <w:b/>
                <w:color w:val="0000FF"/>
                <w:sz w:val="32"/>
                <w:szCs w:val="32"/>
              </w:rPr>
            </w:pPr>
            <w:r w:rsidRPr="00AB30EB">
              <w:rPr>
                <w:rFonts w:ascii="Helvetica" w:hAnsi="Helvetica" w:cs="Helvetica"/>
                <w:color w:val="0000FF"/>
                <w:sz w:val="18"/>
                <w:szCs w:val="18"/>
              </w:rPr>
              <w:t>representing word problems with simple linear equations and solving them to answer questions</w:t>
            </w:r>
          </w:p>
          <w:p w:rsidR="00B914F4" w:rsidRPr="00815B62" w:rsidRDefault="00B914F4" w:rsidP="00B914F4">
            <w:pPr>
              <w:rPr>
                <w:b/>
                <w:sz w:val="32"/>
                <w:szCs w:val="32"/>
              </w:rPr>
            </w:pPr>
            <w:r w:rsidRPr="00815B62">
              <w:rPr>
                <w:b/>
                <w:sz w:val="32"/>
                <w:szCs w:val="32"/>
              </w:rPr>
              <w:t>Linear &amp; non-linear relationships:</w:t>
            </w:r>
          </w:p>
          <w:p w:rsidR="006E1B71" w:rsidRDefault="006E1B71" w:rsidP="006E1B71">
            <w:pPr>
              <w:rPr>
                <w:rFonts w:ascii="Helvetica" w:hAnsi="Helvetica" w:cs="Helvetica"/>
                <w:color w:val="000000"/>
                <w:sz w:val="18"/>
                <w:szCs w:val="18"/>
              </w:rPr>
            </w:pPr>
            <w:r>
              <w:rPr>
                <w:rFonts w:ascii="Helvetica" w:hAnsi="Helvetica" w:cs="Helvetica"/>
                <w:color w:val="000000"/>
                <w:sz w:val="18"/>
                <w:szCs w:val="18"/>
              </w:rPr>
              <w:t>Solve problems involving linear equations, including those derived from formulas (ACMNA235)</w:t>
            </w:r>
          </w:p>
          <w:p w:rsidR="006E1B71" w:rsidRPr="00AB30EB" w:rsidRDefault="006E1B71" w:rsidP="006E1B71">
            <w:pPr>
              <w:pStyle w:val="ListParagraph"/>
              <w:numPr>
                <w:ilvl w:val="0"/>
                <w:numId w:val="17"/>
              </w:numPr>
              <w:rPr>
                <w:rFonts w:ascii="Helvetica" w:hAnsi="Helvetica" w:cs="Helvetica"/>
                <w:color w:val="0000FF"/>
                <w:sz w:val="18"/>
                <w:szCs w:val="18"/>
              </w:rPr>
            </w:pPr>
            <w:r w:rsidRPr="00AB30EB">
              <w:rPr>
                <w:rFonts w:ascii="Helvetica" w:hAnsi="Helvetica" w:cs="Helvetica"/>
                <w:color w:val="0000FF"/>
                <w:sz w:val="18"/>
                <w:szCs w:val="18"/>
              </w:rPr>
              <w:t>solving equations that are the result of substitution into common formulas from mathematics and elsewhere, including those that involve rearrangement</w:t>
            </w:r>
          </w:p>
          <w:p w:rsidR="006E1B71" w:rsidRPr="00AB30EB" w:rsidRDefault="006E1B71" w:rsidP="006E1B71">
            <w:pPr>
              <w:pStyle w:val="ListParagraph"/>
              <w:numPr>
                <w:ilvl w:val="0"/>
                <w:numId w:val="17"/>
              </w:numPr>
              <w:rPr>
                <w:rFonts w:ascii="Helvetica" w:hAnsi="Helvetica" w:cs="Helvetica"/>
                <w:color w:val="0000FF"/>
                <w:sz w:val="18"/>
                <w:szCs w:val="18"/>
              </w:rPr>
            </w:pPr>
            <w:r w:rsidRPr="00AB30EB">
              <w:rPr>
                <w:rFonts w:ascii="Helvetica" w:hAnsi="Helvetica" w:cs="Helvetica"/>
                <w:color w:val="0000FF"/>
                <w:sz w:val="18"/>
                <w:szCs w:val="18"/>
              </w:rPr>
              <w:t>checking the solution by substitution into the equation</w:t>
            </w:r>
          </w:p>
          <w:p w:rsidR="006E1B71" w:rsidRDefault="006E1B71" w:rsidP="006E1B71">
            <w:pPr>
              <w:rPr>
                <w:rFonts w:ascii="Helvetica" w:hAnsi="Helvetica" w:cs="Helvetica"/>
                <w:color w:val="000000"/>
                <w:sz w:val="18"/>
                <w:szCs w:val="18"/>
              </w:rPr>
            </w:pPr>
            <w:r>
              <w:rPr>
                <w:rFonts w:ascii="Helvetica" w:hAnsi="Helvetica" w:cs="Helvetica"/>
                <w:color w:val="000000"/>
                <w:sz w:val="18"/>
                <w:szCs w:val="18"/>
              </w:rPr>
              <w:t>Solve linear inequalities and graph their solutions on a number line (ACMNA236)</w:t>
            </w:r>
          </w:p>
          <w:p w:rsidR="006E1B71" w:rsidRPr="00AB30EB" w:rsidRDefault="006E1B71" w:rsidP="00BA3453">
            <w:pPr>
              <w:pStyle w:val="ListParagraph"/>
              <w:numPr>
                <w:ilvl w:val="0"/>
                <w:numId w:val="18"/>
              </w:numPr>
              <w:rPr>
                <w:rFonts w:ascii="Helvetica" w:hAnsi="Helvetica" w:cs="Helvetica"/>
                <w:color w:val="0000FF"/>
                <w:sz w:val="18"/>
                <w:szCs w:val="18"/>
              </w:rPr>
            </w:pPr>
            <w:r w:rsidRPr="00AB30EB">
              <w:rPr>
                <w:rFonts w:ascii="Helvetica" w:hAnsi="Helvetica" w:cs="Helvetica"/>
                <w:color w:val="0000FF"/>
                <w:sz w:val="18"/>
                <w:szCs w:val="18"/>
              </w:rPr>
              <w:t>representing word problems with simple linear inequalities and solving them to answer questions</w:t>
            </w:r>
          </w:p>
          <w:p w:rsidR="006E1B71" w:rsidRDefault="006E1B71" w:rsidP="006E1B71">
            <w:pPr>
              <w:rPr>
                <w:rFonts w:ascii="Helvetica" w:hAnsi="Helvetica" w:cs="Helvetica"/>
                <w:color w:val="000000"/>
                <w:sz w:val="18"/>
                <w:szCs w:val="18"/>
              </w:rPr>
            </w:pPr>
            <w:r>
              <w:rPr>
                <w:rFonts w:ascii="Helvetica" w:hAnsi="Helvetica" w:cs="Helvetica"/>
                <w:color w:val="000000"/>
                <w:sz w:val="18"/>
                <w:szCs w:val="18"/>
              </w:rPr>
              <w:lastRenderedPageBreak/>
              <w:t>Solve linear simultaneous equations, using algebraic and graphical techniques including using digital technology (ACMNA237)</w:t>
            </w:r>
          </w:p>
          <w:p w:rsidR="00BA3453" w:rsidRPr="00AB30EB" w:rsidRDefault="006E1B71" w:rsidP="006E1B71">
            <w:pPr>
              <w:pStyle w:val="ListParagraph"/>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18"/>
                <w:szCs w:val="18"/>
              </w:rPr>
            </w:pPr>
            <w:r w:rsidRPr="00AB30EB">
              <w:rPr>
                <w:rFonts w:ascii="Helvetica" w:hAnsi="Helvetica" w:cs="Helvetica"/>
                <w:color w:val="0000FF"/>
                <w:sz w:val="18"/>
                <w:szCs w:val="18"/>
              </w:rPr>
              <w:t>using simple algebraic techniques to solve pairs of linear simultaneous equations</w:t>
            </w:r>
          </w:p>
          <w:p w:rsidR="006E1B71" w:rsidRPr="00AB30EB" w:rsidRDefault="006E1B71" w:rsidP="006E1B71">
            <w:pPr>
              <w:pStyle w:val="ListParagraph"/>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18"/>
                <w:szCs w:val="18"/>
              </w:rPr>
            </w:pPr>
            <w:proofErr w:type="spellStart"/>
            <w:r w:rsidRPr="00AB30EB">
              <w:rPr>
                <w:rFonts w:ascii="Helvetica" w:hAnsi="Helvetica" w:cs="Helvetica"/>
                <w:color w:val="0000FF"/>
                <w:sz w:val="18"/>
                <w:szCs w:val="18"/>
              </w:rPr>
              <w:t>generalising</w:t>
            </w:r>
            <w:proofErr w:type="spellEnd"/>
            <w:r w:rsidRPr="00AB30EB">
              <w:rPr>
                <w:rFonts w:ascii="Helvetica" w:hAnsi="Helvetica" w:cs="Helvetica"/>
                <w:color w:val="0000FF"/>
                <w:sz w:val="18"/>
                <w:szCs w:val="18"/>
              </w:rPr>
              <w:t xml:space="preserve"> pairs of equations from word problems and choosing an appropriate strategy for solving them simultaneously</w:t>
            </w:r>
          </w:p>
          <w:p w:rsidR="006E1B71" w:rsidRDefault="006E1B71" w:rsidP="006E1B71">
            <w:pPr>
              <w:rPr>
                <w:rFonts w:ascii="Helvetica" w:hAnsi="Helvetica" w:cs="Helvetica"/>
                <w:color w:val="000000"/>
                <w:sz w:val="18"/>
                <w:szCs w:val="18"/>
              </w:rPr>
            </w:pPr>
            <w:r>
              <w:rPr>
                <w:rFonts w:ascii="Helvetica" w:hAnsi="Helvetica" w:cs="Helvetica"/>
                <w:color w:val="000000"/>
                <w:sz w:val="18"/>
                <w:szCs w:val="18"/>
              </w:rPr>
              <w:t>Solve problems involving parallel and perpendicular lines (ACMNA238)</w:t>
            </w:r>
          </w:p>
          <w:p w:rsidR="006E1B71" w:rsidRPr="00AB30EB" w:rsidRDefault="006E1B71" w:rsidP="00BA3453">
            <w:pPr>
              <w:pStyle w:val="ListParagraph"/>
              <w:numPr>
                <w:ilvl w:val="0"/>
                <w:numId w:val="19"/>
              </w:numPr>
              <w:rPr>
                <w:rFonts w:ascii="Helvetica" w:hAnsi="Helvetica" w:cs="Helvetica"/>
                <w:color w:val="0000FF"/>
                <w:sz w:val="18"/>
                <w:szCs w:val="18"/>
              </w:rPr>
            </w:pPr>
            <w:r w:rsidRPr="00AB30EB">
              <w:rPr>
                <w:rFonts w:ascii="Helvetica" w:hAnsi="Helvetica" w:cs="Helvetica"/>
                <w:color w:val="0000FF"/>
                <w:sz w:val="18"/>
                <w:szCs w:val="18"/>
              </w:rPr>
              <w:t>Developing fluency with the geometric calculations which connect the graphical and analytical representations of parallel and perpendicular lines, using geometric software to carry out investigations with parallel and perpendicular lines</w:t>
            </w:r>
          </w:p>
          <w:p w:rsidR="006E1B71" w:rsidRDefault="00BA3453" w:rsidP="006E1B71">
            <w:pPr>
              <w:rPr>
                <w:rFonts w:ascii="Helvetica" w:hAnsi="Helvetica" w:cs="Helvetica"/>
                <w:color w:val="000000"/>
                <w:sz w:val="18"/>
                <w:szCs w:val="18"/>
              </w:rPr>
            </w:pPr>
            <w:r>
              <w:rPr>
                <w:rFonts w:ascii="Helvetica" w:hAnsi="Helvetica" w:cs="Helvetica"/>
                <w:color w:val="000000"/>
                <w:sz w:val="18"/>
                <w:szCs w:val="18"/>
              </w:rPr>
              <w:t>Explore the connection between algebraic and graphical representations of relations such as simple quadratics, circles and exponentials using digital technology as appropriate (ACMNA239)</w:t>
            </w:r>
          </w:p>
          <w:p w:rsidR="00BA3453" w:rsidRPr="00AB30EB" w:rsidRDefault="00BA3453" w:rsidP="00BA3453">
            <w:pPr>
              <w:pStyle w:val="ListParagraph"/>
              <w:widowControl w:val="0"/>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18"/>
                <w:szCs w:val="18"/>
              </w:rPr>
            </w:pPr>
            <w:r w:rsidRPr="00AB30EB">
              <w:rPr>
                <w:rFonts w:ascii="Helvetica" w:hAnsi="Helvetica" w:cs="Helvetica"/>
                <w:color w:val="0000FF"/>
                <w:sz w:val="18"/>
                <w:szCs w:val="18"/>
              </w:rPr>
              <w:t>identifying, matching and describing algebraic and graphical representations of parabolas, rectangular hyperbolas, exponential functions and circles, including those that have undergone a single transformation</w:t>
            </w:r>
          </w:p>
          <w:p w:rsidR="00BA3453" w:rsidRPr="00AB30EB" w:rsidRDefault="00BA3453" w:rsidP="00BA3453">
            <w:pPr>
              <w:pStyle w:val="ListParagraph"/>
              <w:widowControl w:val="0"/>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18"/>
                <w:szCs w:val="18"/>
              </w:rPr>
            </w:pPr>
            <w:r w:rsidRPr="00AB30EB">
              <w:rPr>
                <w:rFonts w:ascii="Helvetica" w:hAnsi="Helvetica" w:cs="Helvetica"/>
                <w:color w:val="0000FF"/>
                <w:sz w:val="18"/>
                <w:szCs w:val="18"/>
              </w:rPr>
              <w:t>sketching the graphical representations of parabolas, exponential functions and circles</w:t>
            </w:r>
          </w:p>
          <w:p w:rsidR="00BA3453" w:rsidRDefault="00BA3453" w:rsidP="00BA3453">
            <w:pPr>
              <w:rPr>
                <w:rFonts w:ascii="Helvetica" w:hAnsi="Helvetica" w:cs="Helvetica"/>
                <w:color w:val="000000"/>
                <w:sz w:val="18"/>
                <w:szCs w:val="18"/>
              </w:rPr>
            </w:pPr>
            <w:r>
              <w:rPr>
                <w:rFonts w:ascii="Helvetica" w:hAnsi="Helvetica" w:cs="Helvetica"/>
                <w:color w:val="000000"/>
                <w:sz w:val="18"/>
                <w:szCs w:val="18"/>
              </w:rPr>
              <w:t>Solve linear equations involving simple algebraic fractions (ACMNA240)</w:t>
            </w:r>
          </w:p>
          <w:p w:rsidR="00BA3453" w:rsidRPr="00AB30EB" w:rsidRDefault="00BA3453" w:rsidP="00BA3453">
            <w:pPr>
              <w:pStyle w:val="ListParagraph"/>
              <w:widowControl w:val="0"/>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18"/>
                <w:szCs w:val="18"/>
              </w:rPr>
            </w:pPr>
            <w:r w:rsidRPr="00AB30EB">
              <w:rPr>
                <w:rFonts w:ascii="Helvetica" w:hAnsi="Helvetica" w:cs="Helvetica"/>
                <w:color w:val="0000FF"/>
                <w:sz w:val="18"/>
                <w:szCs w:val="18"/>
              </w:rPr>
              <w:t>solving a wide range of linear equations, including those involving one or two simple algebraic fractions, and checking solutions by substitution</w:t>
            </w:r>
          </w:p>
          <w:p w:rsidR="00BA3453" w:rsidRPr="00AB30EB" w:rsidRDefault="00BA3453" w:rsidP="00BA3453">
            <w:pPr>
              <w:pStyle w:val="ListParagraph"/>
              <w:widowControl w:val="0"/>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18"/>
                <w:szCs w:val="18"/>
              </w:rPr>
            </w:pPr>
            <w:r w:rsidRPr="00AB30EB">
              <w:rPr>
                <w:rFonts w:ascii="Helvetica" w:hAnsi="Helvetica" w:cs="Helvetica"/>
                <w:color w:val="0000FF"/>
                <w:sz w:val="18"/>
                <w:szCs w:val="18"/>
              </w:rPr>
              <w:t>representing word problems, including those involving fractions, as equations and solving them to answer the question</w:t>
            </w:r>
          </w:p>
          <w:p w:rsidR="00BA3453" w:rsidRDefault="00BA3453" w:rsidP="00BA3453">
            <w:pPr>
              <w:rPr>
                <w:rFonts w:ascii="Helvetica" w:hAnsi="Helvetica" w:cs="Helvetica"/>
                <w:color w:val="000000"/>
                <w:sz w:val="18"/>
                <w:szCs w:val="18"/>
              </w:rPr>
            </w:pPr>
            <w:r>
              <w:rPr>
                <w:rFonts w:ascii="Helvetica" w:hAnsi="Helvetica" w:cs="Helvetica"/>
                <w:color w:val="000000"/>
                <w:sz w:val="18"/>
                <w:szCs w:val="18"/>
              </w:rPr>
              <w:t>Solve simple quadratic equations using a range of strategies (ACMNA241)</w:t>
            </w:r>
          </w:p>
          <w:p w:rsidR="00BA3453" w:rsidRPr="00AB30EB" w:rsidRDefault="00BA3453" w:rsidP="00BA3453">
            <w:pPr>
              <w:pStyle w:val="ListParagraph"/>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18"/>
                <w:szCs w:val="18"/>
              </w:rPr>
            </w:pPr>
            <w:r w:rsidRPr="00AB30EB">
              <w:rPr>
                <w:rFonts w:ascii="Helvetica" w:hAnsi="Helvetica" w:cs="Helvetica"/>
                <w:color w:val="0000FF"/>
                <w:sz w:val="18"/>
                <w:szCs w:val="18"/>
              </w:rPr>
              <w:t>developing an understanding that many relationships are non­ linear and that these can also be represented graphically and algebraically</w:t>
            </w:r>
          </w:p>
          <w:p w:rsidR="00BA3453" w:rsidRPr="00BA3453" w:rsidRDefault="00BA3453" w:rsidP="00BA3453">
            <w:pPr>
              <w:pStyle w:val="ListParagraph"/>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8"/>
                <w:szCs w:val="18"/>
              </w:rPr>
            </w:pPr>
            <w:r w:rsidRPr="00AB30EB">
              <w:rPr>
                <w:rFonts w:ascii="Helvetica" w:hAnsi="Helvetica" w:cs="Helvetica"/>
                <w:color w:val="0000FF"/>
                <w:sz w:val="18"/>
                <w:szCs w:val="18"/>
              </w:rPr>
              <w:t xml:space="preserve">identifying the connection between algebraic and graphical solutions of equations (for example understanding that the x­ intercepts are the solutions of f(x) = 0) exploring the method of completing the square to </w:t>
            </w:r>
            <w:proofErr w:type="spellStart"/>
            <w:r w:rsidRPr="00AB30EB">
              <w:rPr>
                <w:rFonts w:ascii="Helvetica" w:hAnsi="Helvetica" w:cs="Helvetica"/>
                <w:color w:val="0000FF"/>
                <w:sz w:val="18"/>
                <w:szCs w:val="18"/>
              </w:rPr>
              <w:t>factorise</w:t>
            </w:r>
            <w:proofErr w:type="spellEnd"/>
            <w:r w:rsidRPr="00AB30EB">
              <w:rPr>
                <w:rFonts w:ascii="Helvetica" w:hAnsi="Helvetica" w:cs="Helvetica"/>
                <w:color w:val="0000FF"/>
                <w:sz w:val="18"/>
                <w:szCs w:val="18"/>
              </w:rPr>
              <w:t xml:space="preserve"> quadratic expressions and solve quadratic equations</w:t>
            </w:r>
          </w:p>
        </w:tc>
        <w:tc>
          <w:tcPr>
            <w:tcW w:w="5130" w:type="dxa"/>
            <w:tcBorders>
              <w:bottom w:val="single" w:sz="4" w:space="0" w:color="auto"/>
            </w:tcBorders>
            <w:shd w:val="clear" w:color="auto" w:fill="CCFFFF"/>
          </w:tcPr>
          <w:p w:rsidR="00A45E99" w:rsidRPr="00815B62" w:rsidRDefault="00EB388A" w:rsidP="00A45E99">
            <w:pPr>
              <w:rPr>
                <w:b/>
                <w:sz w:val="32"/>
                <w:szCs w:val="32"/>
              </w:rPr>
            </w:pPr>
            <w:r w:rsidRPr="00815B62">
              <w:rPr>
                <w:b/>
                <w:sz w:val="32"/>
                <w:szCs w:val="32"/>
              </w:rPr>
              <w:lastRenderedPageBreak/>
              <w:t>Using units of measurement</w:t>
            </w:r>
            <w:r w:rsidR="00DD4C34" w:rsidRPr="00815B62">
              <w:rPr>
                <w:b/>
                <w:sz w:val="32"/>
                <w:szCs w:val="32"/>
              </w:rPr>
              <w:t>:</w:t>
            </w:r>
          </w:p>
          <w:p w:rsidR="00927263" w:rsidRDefault="00267AE4" w:rsidP="00267AE4">
            <w:pPr>
              <w:rPr>
                <w:rFonts w:ascii="Helvetica" w:hAnsi="Helvetica" w:cs="Helvetica"/>
                <w:color w:val="000000"/>
                <w:sz w:val="18"/>
                <w:szCs w:val="18"/>
              </w:rPr>
            </w:pPr>
            <w:r>
              <w:rPr>
                <w:rFonts w:ascii="Helvetica" w:hAnsi="Helvetica" w:cs="Helvetica"/>
                <w:color w:val="000000"/>
                <w:sz w:val="18"/>
                <w:szCs w:val="18"/>
              </w:rPr>
              <w:t>Solve problems involving surface area and volume for a range of prisms, cylinders and composite solids (ACMMG242)</w:t>
            </w:r>
          </w:p>
          <w:p w:rsidR="00267AE4" w:rsidRPr="00AB30EB" w:rsidRDefault="00267AE4" w:rsidP="00267AE4">
            <w:pPr>
              <w:pStyle w:val="ListParagraph"/>
              <w:numPr>
                <w:ilvl w:val="0"/>
                <w:numId w:val="22"/>
              </w:numPr>
              <w:rPr>
                <w:color w:val="0000FF"/>
              </w:rPr>
            </w:pPr>
            <w:r w:rsidRPr="00AB30EB">
              <w:rPr>
                <w:rFonts w:ascii="Helvetica" w:hAnsi="Helvetica" w:cs="Helvetica"/>
                <w:color w:val="0000FF"/>
                <w:sz w:val="18"/>
                <w:szCs w:val="18"/>
              </w:rPr>
              <w:t>building on understanding of surface areas and volumes of prisms and cylinders, to include pyramids, cones and spheres</w:t>
            </w:r>
          </w:p>
          <w:p w:rsidR="005A21B9" w:rsidRDefault="005A21B9" w:rsidP="005A21B9">
            <w:pPr>
              <w:rPr>
                <w:b/>
                <w:sz w:val="32"/>
                <w:szCs w:val="32"/>
              </w:rPr>
            </w:pPr>
            <w:r w:rsidRPr="00815B62">
              <w:rPr>
                <w:b/>
                <w:sz w:val="32"/>
                <w:szCs w:val="32"/>
              </w:rPr>
              <w:t>Geometric reasoning:</w:t>
            </w:r>
          </w:p>
          <w:p w:rsidR="00267AE4" w:rsidRDefault="00267AE4" w:rsidP="005A21B9">
            <w:pPr>
              <w:rPr>
                <w:rFonts w:ascii="Helvetica" w:hAnsi="Helvetica" w:cs="Helvetica"/>
                <w:color w:val="000000"/>
                <w:sz w:val="18"/>
                <w:szCs w:val="18"/>
              </w:rPr>
            </w:pPr>
            <w:r>
              <w:rPr>
                <w:rFonts w:ascii="Helvetica" w:hAnsi="Helvetica" w:cs="Helvetica"/>
                <w:color w:val="000000"/>
                <w:sz w:val="18"/>
                <w:szCs w:val="18"/>
              </w:rPr>
              <w:t>Formulate proofs involving congruent triangles and angle properties (ACMMG243)</w:t>
            </w:r>
          </w:p>
          <w:p w:rsidR="00267AE4" w:rsidRPr="00AB30EB" w:rsidRDefault="00267AE4" w:rsidP="008D6B00">
            <w:pPr>
              <w:pStyle w:val="ListParagraph"/>
              <w:numPr>
                <w:ilvl w:val="0"/>
                <w:numId w:val="22"/>
              </w:numPr>
              <w:rPr>
                <w:rFonts w:ascii="Helvetica" w:hAnsi="Helvetica" w:cs="Helvetica"/>
                <w:color w:val="0000FF"/>
                <w:sz w:val="18"/>
                <w:szCs w:val="18"/>
              </w:rPr>
            </w:pPr>
            <w:r w:rsidRPr="00AB30EB">
              <w:rPr>
                <w:rFonts w:ascii="Helvetica" w:hAnsi="Helvetica" w:cs="Helvetica"/>
                <w:color w:val="0000FF"/>
                <w:sz w:val="18"/>
                <w:szCs w:val="18"/>
              </w:rPr>
              <w:t xml:space="preserve">proving that a quadrilateral with </w:t>
            </w:r>
            <w:proofErr w:type="spellStart"/>
            <w:r w:rsidRPr="00AB30EB">
              <w:rPr>
                <w:rFonts w:ascii="Helvetica" w:hAnsi="Helvetica" w:cs="Helvetica"/>
                <w:color w:val="0000FF"/>
                <w:sz w:val="18"/>
                <w:szCs w:val="18"/>
              </w:rPr>
              <w:t>equal­length</w:t>
            </w:r>
            <w:proofErr w:type="spellEnd"/>
            <w:r w:rsidRPr="00AB30EB">
              <w:rPr>
                <w:rFonts w:ascii="Helvetica" w:hAnsi="Helvetica" w:cs="Helvetica"/>
                <w:color w:val="0000FF"/>
                <w:sz w:val="18"/>
                <w:szCs w:val="18"/>
              </w:rPr>
              <w:t xml:space="preserve"> diagonals bisecting at right angles is a square</w:t>
            </w:r>
          </w:p>
          <w:p w:rsidR="00267AE4" w:rsidRDefault="00267AE4" w:rsidP="005A21B9">
            <w:pPr>
              <w:rPr>
                <w:rFonts w:ascii="Helvetica" w:hAnsi="Helvetica" w:cs="Helvetica"/>
                <w:color w:val="000000"/>
                <w:sz w:val="18"/>
                <w:szCs w:val="18"/>
              </w:rPr>
            </w:pPr>
            <w:r>
              <w:rPr>
                <w:rFonts w:ascii="Helvetica" w:hAnsi="Helvetica" w:cs="Helvetica"/>
                <w:color w:val="000000"/>
                <w:sz w:val="18"/>
                <w:szCs w:val="18"/>
              </w:rPr>
              <w:t>Apply logical reasoning, including the use of congruence and similarity, to proofs and numerical exercises involving plane shapes (ACMMG244)</w:t>
            </w:r>
          </w:p>
          <w:p w:rsidR="008D6B00" w:rsidRPr="00AB30EB" w:rsidRDefault="00267AE4" w:rsidP="00267AE4">
            <w:pPr>
              <w:pStyle w:val="ListParagraph"/>
              <w:widowControl w:val="0"/>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18"/>
                <w:szCs w:val="18"/>
              </w:rPr>
            </w:pPr>
            <w:r w:rsidRPr="00AB30EB">
              <w:rPr>
                <w:rFonts w:ascii="Helvetica" w:hAnsi="Helvetica" w:cs="Helvetica"/>
                <w:color w:val="0000FF"/>
                <w:sz w:val="18"/>
                <w:szCs w:val="18"/>
              </w:rPr>
              <w:t>presenting formal geometric arguments to develop skills in mathematical reasoning and presenting reasoned arguments (proofs)</w:t>
            </w:r>
          </w:p>
          <w:p w:rsidR="008D6B00" w:rsidRPr="00AB30EB" w:rsidRDefault="00267AE4" w:rsidP="00267AE4">
            <w:pPr>
              <w:pStyle w:val="ListParagraph"/>
              <w:widowControl w:val="0"/>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18"/>
                <w:szCs w:val="18"/>
              </w:rPr>
            </w:pPr>
            <w:r w:rsidRPr="00AB30EB">
              <w:rPr>
                <w:rFonts w:ascii="Helvetica" w:hAnsi="Helvetica" w:cs="Helvetica"/>
                <w:color w:val="0000FF"/>
                <w:sz w:val="18"/>
                <w:szCs w:val="18"/>
              </w:rPr>
              <w:t>using mathematical language and notation, based on congruence and similarity</w:t>
            </w:r>
          </w:p>
          <w:p w:rsidR="008D6B00" w:rsidRPr="00AB30EB" w:rsidRDefault="00267AE4" w:rsidP="00267AE4">
            <w:pPr>
              <w:pStyle w:val="ListParagraph"/>
              <w:widowControl w:val="0"/>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18"/>
                <w:szCs w:val="18"/>
              </w:rPr>
            </w:pPr>
            <w:r w:rsidRPr="00AB30EB">
              <w:rPr>
                <w:rFonts w:ascii="Helvetica" w:hAnsi="Helvetica" w:cs="Helvetica"/>
                <w:color w:val="0000FF"/>
                <w:sz w:val="18"/>
                <w:szCs w:val="18"/>
              </w:rPr>
              <w:t>applying an understanding of relationships to deduce properties of geometric figures (for example the base angles of an isosceles triangle are equal)</w:t>
            </w:r>
          </w:p>
          <w:p w:rsidR="00267AE4" w:rsidRPr="00AB30EB" w:rsidRDefault="00267AE4" w:rsidP="005A21B9">
            <w:pPr>
              <w:pStyle w:val="ListParagraph"/>
              <w:widowControl w:val="0"/>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18"/>
                <w:szCs w:val="18"/>
              </w:rPr>
            </w:pPr>
            <w:r w:rsidRPr="00AB30EB">
              <w:rPr>
                <w:rFonts w:ascii="Helvetica" w:hAnsi="Helvetica" w:cs="Helvetica"/>
                <w:color w:val="0000FF"/>
                <w:sz w:val="18"/>
                <w:szCs w:val="18"/>
              </w:rPr>
              <w:t>distinguishing between a practical demonstration and a proof (for example demonstrating triangles are congruent by placing them on top of each other, as compared to using congruence tests to establish that triangles are congruent)</w:t>
            </w:r>
          </w:p>
          <w:p w:rsidR="004A3C97" w:rsidRPr="00815B62" w:rsidRDefault="002108AD" w:rsidP="002108AD">
            <w:pPr>
              <w:rPr>
                <w:b/>
                <w:sz w:val="32"/>
                <w:szCs w:val="32"/>
              </w:rPr>
            </w:pPr>
            <w:r w:rsidRPr="00815B62">
              <w:rPr>
                <w:b/>
                <w:sz w:val="32"/>
                <w:szCs w:val="32"/>
              </w:rPr>
              <w:t>Pythagoras and trigonometry:</w:t>
            </w:r>
          </w:p>
          <w:p w:rsidR="00EB74A5" w:rsidRDefault="008D6B00" w:rsidP="008D6B00">
            <w:pPr>
              <w:rPr>
                <w:rFonts w:ascii="Helvetica" w:hAnsi="Helvetica" w:cs="Helvetica"/>
                <w:color w:val="000000"/>
                <w:sz w:val="18"/>
                <w:szCs w:val="18"/>
              </w:rPr>
            </w:pPr>
            <w:r>
              <w:rPr>
                <w:rFonts w:ascii="Helvetica" w:hAnsi="Helvetica" w:cs="Helvetica"/>
                <w:color w:val="000000"/>
                <w:sz w:val="18"/>
                <w:szCs w:val="18"/>
              </w:rPr>
              <w:t xml:space="preserve">Solve </w:t>
            </w:r>
            <w:proofErr w:type="spellStart"/>
            <w:r>
              <w:rPr>
                <w:rFonts w:ascii="Helvetica" w:hAnsi="Helvetica" w:cs="Helvetica"/>
                <w:color w:val="000000"/>
                <w:sz w:val="18"/>
                <w:szCs w:val="18"/>
              </w:rPr>
              <w:t>right­angled</w:t>
            </w:r>
            <w:proofErr w:type="spellEnd"/>
            <w:r>
              <w:rPr>
                <w:rFonts w:ascii="Helvetica" w:hAnsi="Helvetica" w:cs="Helvetica"/>
                <w:color w:val="000000"/>
                <w:sz w:val="18"/>
                <w:szCs w:val="18"/>
              </w:rPr>
              <w:t xml:space="preserve"> triangle problems including those involving direction and angles of elevation and depression (ACMMG245)</w:t>
            </w:r>
          </w:p>
          <w:p w:rsidR="008D6B00" w:rsidRPr="00AB30EB" w:rsidRDefault="008D6B00" w:rsidP="008D6B00">
            <w:pPr>
              <w:pStyle w:val="ListParagraph"/>
              <w:numPr>
                <w:ilvl w:val="0"/>
                <w:numId w:val="23"/>
              </w:numPr>
              <w:rPr>
                <w:b/>
                <w:color w:val="0000FF"/>
              </w:rPr>
            </w:pPr>
            <w:r w:rsidRPr="00AB30EB">
              <w:rPr>
                <w:rFonts w:ascii="Helvetica" w:hAnsi="Helvetica" w:cs="Helvetica"/>
                <w:color w:val="0000FF"/>
                <w:sz w:val="18"/>
                <w:szCs w:val="18"/>
              </w:rPr>
              <w:t>applying Pythagoras’s Theorem and trigonometry to problems in surveying and design</w:t>
            </w:r>
          </w:p>
        </w:tc>
        <w:tc>
          <w:tcPr>
            <w:tcW w:w="5130" w:type="dxa"/>
            <w:tcBorders>
              <w:bottom w:val="single" w:sz="4" w:space="0" w:color="auto"/>
            </w:tcBorders>
            <w:shd w:val="clear" w:color="auto" w:fill="E3D8FF"/>
          </w:tcPr>
          <w:p w:rsidR="00A45E99" w:rsidRPr="00815B62" w:rsidRDefault="004A3C97" w:rsidP="00A45E99">
            <w:pPr>
              <w:rPr>
                <w:b/>
                <w:sz w:val="32"/>
                <w:szCs w:val="32"/>
              </w:rPr>
            </w:pPr>
            <w:r w:rsidRPr="00815B62">
              <w:rPr>
                <w:b/>
                <w:sz w:val="32"/>
                <w:szCs w:val="32"/>
              </w:rPr>
              <w:t>Chance</w:t>
            </w:r>
            <w:r w:rsidR="00572232" w:rsidRPr="00815B62">
              <w:rPr>
                <w:b/>
                <w:sz w:val="32"/>
                <w:szCs w:val="32"/>
              </w:rPr>
              <w:t>:</w:t>
            </w:r>
          </w:p>
          <w:p w:rsidR="00C40806" w:rsidRDefault="00824DA7" w:rsidP="00824DA7">
            <w:pPr>
              <w:rPr>
                <w:rFonts w:ascii="Helvetica" w:hAnsi="Helvetica" w:cs="Helvetica"/>
                <w:color w:val="000000"/>
                <w:sz w:val="18"/>
                <w:szCs w:val="18"/>
              </w:rPr>
            </w:pPr>
            <w:r>
              <w:rPr>
                <w:rFonts w:ascii="Helvetica" w:hAnsi="Helvetica" w:cs="Helvetica"/>
                <w:color w:val="000000"/>
                <w:sz w:val="18"/>
                <w:szCs w:val="18"/>
              </w:rPr>
              <w:t xml:space="preserve">Describe the results of two­ and </w:t>
            </w:r>
            <w:proofErr w:type="spellStart"/>
            <w:r>
              <w:rPr>
                <w:rFonts w:ascii="Helvetica" w:hAnsi="Helvetica" w:cs="Helvetica"/>
                <w:color w:val="000000"/>
                <w:sz w:val="18"/>
                <w:szCs w:val="18"/>
              </w:rPr>
              <w:t>three­step</w:t>
            </w:r>
            <w:proofErr w:type="spellEnd"/>
            <w:r>
              <w:rPr>
                <w:rFonts w:ascii="Helvetica" w:hAnsi="Helvetica" w:cs="Helvetica"/>
                <w:color w:val="000000"/>
                <w:sz w:val="18"/>
                <w:szCs w:val="18"/>
              </w:rPr>
              <w:t xml:space="preserve"> chance experiments, both with and without replacements, assign probabilities to outcomes and determine probabilities of events. Investigate the concept of independence (ACMSP246)</w:t>
            </w:r>
          </w:p>
          <w:p w:rsidR="00824DA7" w:rsidRPr="00AB30EB" w:rsidRDefault="00824DA7" w:rsidP="00824DA7">
            <w:pPr>
              <w:pStyle w:val="ListParagraph"/>
              <w:widowControl w:val="0"/>
              <w:numPr>
                <w:ilvl w:val="0"/>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18"/>
                <w:szCs w:val="18"/>
              </w:rPr>
            </w:pPr>
            <w:proofErr w:type="spellStart"/>
            <w:r w:rsidRPr="00AB30EB">
              <w:rPr>
                <w:rFonts w:ascii="Helvetica" w:hAnsi="Helvetica" w:cs="Helvetica"/>
                <w:color w:val="0000FF"/>
                <w:sz w:val="18"/>
                <w:szCs w:val="18"/>
              </w:rPr>
              <w:t>recognising</w:t>
            </w:r>
            <w:proofErr w:type="spellEnd"/>
            <w:r w:rsidRPr="00AB30EB">
              <w:rPr>
                <w:rFonts w:ascii="Helvetica" w:hAnsi="Helvetica" w:cs="Helvetica"/>
                <w:color w:val="0000FF"/>
                <w:sz w:val="18"/>
                <w:szCs w:val="18"/>
              </w:rPr>
              <w:t xml:space="preserve"> and identifying that some sets of chance events are dependent on a previous result and others are not, that this distinction is important when calculating probabilities, and that events are independent if P(A) x P(B) = P(A and B)</w:t>
            </w:r>
          </w:p>
          <w:p w:rsidR="00824DA7" w:rsidRPr="00824DA7" w:rsidRDefault="00824DA7" w:rsidP="00824DA7">
            <w:pPr>
              <w:pStyle w:val="ListParagraph"/>
              <w:widowControl w:val="0"/>
              <w:numPr>
                <w:ilvl w:val="0"/>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8"/>
                <w:szCs w:val="18"/>
              </w:rPr>
            </w:pPr>
            <w:r w:rsidRPr="00AB30EB">
              <w:rPr>
                <w:rFonts w:ascii="Helvetica" w:hAnsi="Helvetica" w:cs="Helvetica"/>
                <w:color w:val="0000FF"/>
                <w:sz w:val="18"/>
                <w:szCs w:val="18"/>
              </w:rPr>
              <w:t>distinguishing that event A is mathematically dependent on event B if the occurrence of event B affects the chance of the occurrence of event A (for example, selecting a ball from a bag where one ball has already been taken and not replaced)</w:t>
            </w:r>
          </w:p>
          <w:p w:rsidR="00824DA7" w:rsidRDefault="00824DA7" w:rsidP="00824DA7">
            <w:pPr>
              <w:rPr>
                <w:rFonts w:ascii="Helvetica" w:hAnsi="Helvetica" w:cs="Helvetica"/>
                <w:color w:val="000000"/>
                <w:sz w:val="18"/>
                <w:szCs w:val="18"/>
              </w:rPr>
            </w:pPr>
            <w:r>
              <w:rPr>
                <w:rFonts w:ascii="Helvetica" w:hAnsi="Helvetica" w:cs="Helvetica"/>
                <w:color w:val="000000"/>
                <w:sz w:val="18"/>
                <w:szCs w:val="18"/>
              </w:rPr>
              <w:t>Use the language of ‘if ....then, ‘given’, ‘of’, ‘knowing that’ to investigate conditional statements and identify common mistakes in interpreting such language (ACMSP247)</w:t>
            </w:r>
          </w:p>
          <w:p w:rsidR="00824DA7" w:rsidRPr="00AB30EB" w:rsidRDefault="00824DA7" w:rsidP="00824DA7">
            <w:pPr>
              <w:pStyle w:val="ListParagraph"/>
              <w:numPr>
                <w:ilvl w:val="0"/>
                <w:numId w:val="24"/>
              </w:numPr>
              <w:rPr>
                <w:color w:val="0000FF"/>
              </w:rPr>
            </w:pPr>
            <w:r w:rsidRPr="00AB30EB">
              <w:rPr>
                <w:rFonts w:ascii="Helvetica" w:hAnsi="Helvetica" w:cs="Helvetica"/>
                <w:color w:val="0000FF"/>
                <w:sz w:val="18"/>
                <w:szCs w:val="18"/>
              </w:rPr>
              <w:t>evaluating media reports that refer to data from a range of contexts, where the evaluation allows students to demonstrate their statistical literacy</w:t>
            </w:r>
          </w:p>
          <w:p w:rsidR="00572232" w:rsidRPr="00815B62" w:rsidRDefault="00536C91" w:rsidP="00572232">
            <w:pPr>
              <w:rPr>
                <w:b/>
                <w:sz w:val="32"/>
                <w:szCs w:val="32"/>
              </w:rPr>
            </w:pPr>
            <w:r w:rsidRPr="00815B62">
              <w:rPr>
                <w:b/>
                <w:sz w:val="32"/>
                <w:szCs w:val="32"/>
              </w:rPr>
              <w:t>Data representation &amp; interpretation</w:t>
            </w:r>
            <w:r w:rsidR="00572232" w:rsidRPr="00815B62">
              <w:rPr>
                <w:b/>
                <w:sz w:val="32"/>
                <w:szCs w:val="32"/>
              </w:rPr>
              <w:t>:</w:t>
            </w:r>
          </w:p>
          <w:p w:rsidR="00572232" w:rsidRDefault="00720051" w:rsidP="00720051">
            <w:pPr>
              <w:rPr>
                <w:rFonts w:ascii="Helvetica" w:hAnsi="Helvetica" w:cs="Helvetica"/>
                <w:color w:val="000000"/>
                <w:sz w:val="18"/>
                <w:szCs w:val="18"/>
              </w:rPr>
            </w:pPr>
            <w:r>
              <w:rPr>
                <w:rFonts w:ascii="Helvetica" w:hAnsi="Helvetica" w:cs="Helvetica"/>
                <w:color w:val="000000"/>
                <w:sz w:val="18"/>
                <w:szCs w:val="18"/>
              </w:rPr>
              <w:t>Determine quartiles and interquartile range (ACMSP248)</w:t>
            </w:r>
          </w:p>
          <w:p w:rsidR="00720051" w:rsidRPr="00AB30EB" w:rsidRDefault="00720051" w:rsidP="00720051">
            <w:pPr>
              <w:pStyle w:val="ListParagraph"/>
              <w:numPr>
                <w:ilvl w:val="0"/>
                <w:numId w:val="24"/>
              </w:numPr>
              <w:rPr>
                <w:rFonts w:ascii="Helvetica" w:hAnsi="Helvetica" w:cs="Helvetica"/>
                <w:color w:val="0000FF"/>
                <w:sz w:val="18"/>
                <w:szCs w:val="18"/>
              </w:rPr>
            </w:pPr>
            <w:r w:rsidRPr="00AB30EB">
              <w:rPr>
                <w:rFonts w:ascii="Helvetica" w:hAnsi="Helvetica" w:cs="Helvetica"/>
                <w:color w:val="0000FF"/>
                <w:sz w:val="18"/>
                <w:szCs w:val="18"/>
              </w:rPr>
              <w:t xml:space="preserve">finding the </w:t>
            </w:r>
            <w:proofErr w:type="spellStart"/>
            <w:r w:rsidRPr="00AB30EB">
              <w:rPr>
                <w:rFonts w:ascii="Helvetica" w:hAnsi="Helvetica" w:cs="Helvetica"/>
                <w:color w:val="0000FF"/>
                <w:sz w:val="18"/>
                <w:szCs w:val="18"/>
              </w:rPr>
              <w:t>five­number</w:t>
            </w:r>
            <w:proofErr w:type="spellEnd"/>
            <w:r w:rsidRPr="00AB30EB">
              <w:rPr>
                <w:rFonts w:ascii="Helvetica" w:hAnsi="Helvetica" w:cs="Helvetica"/>
                <w:color w:val="0000FF"/>
                <w:sz w:val="18"/>
                <w:szCs w:val="18"/>
              </w:rPr>
              <w:t xml:space="preserve"> summary (minimum and maximum values, median and upper and lower quartiles) and using its graphical representation, the box plot, as tools for both numerically and visually comparing the centre and spread of data sets</w:t>
            </w:r>
          </w:p>
          <w:p w:rsidR="00720051" w:rsidRDefault="00720051" w:rsidP="00720051">
            <w:pPr>
              <w:rPr>
                <w:rFonts w:ascii="Helvetica" w:hAnsi="Helvetica" w:cs="Helvetica"/>
                <w:color w:val="000000"/>
                <w:sz w:val="18"/>
                <w:szCs w:val="18"/>
              </w:rPr>
            </w:pPr>
            <w:r>
              <w:rPr>
                <w:rFonts w:ascii="Helvetica" w:hAnsi="Helvetica" w:cs="Helvetica"/>
                <w:color w:val="000000"/>
                <w:sz w:val="18"/>
                <w:szCs w:val="18"/>
              </w:rPr>
              <w:t xml:space="preserve">Construct and interpret box plots and use them to compare data sets (ACMSP249) </w:t>
            </w:r>
            <w:r>
              <w:rPr>
                <w:rFonts w:ascii="Helvetica" w:hAnsi="Helvetica" w:cs="Helvetica"/>
                <w:noProof/>
              </w:rPr>
              <w:drawing>
                <wp:inline distT="0" distB="0" distL="0" distR="0">
                  <wp:extent cx="153303" cy="16425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3361" cy="164316"/>
                          </a:xfrm>
                          <a:prstGeom prst="rect">
                            <a:avLst/>
                          </a:prstGeom>
                          <a:noFill/>
                          <a:ln>
                            <a:noFill/>
                          </a:ln>
                        </pic:spPr>
                      </pic:pic>
                    </a:graphicData>
                  </a:graphic>
                </wp:inline>
              </w:drawing>
            </w:r>
          </w:p>
          <w:p w:rsidR="005F08B6" w:rsidRPr="00AB30EB" w:rsidRDefault="00720051" w:rsidP="00720051">
            <w:pPr>
              <w:pStyle w:val="ListParagraph"/>
              <w:widowControl w:val="0"/>
              <w:numPr>
                <w:ilvl w:val="0"/>
                <w:numId w:val="2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18"/>
                <w:szCs w:val="18"/>
              </w:rPr>
            </w:pPr>
            <w:r w:rsidRPr="00AB30EB">
              <w:rPr>
                <w:rFonts w:ascii="Helvetica" w:hAnsi="Helvetica" w:cs="Helvetica"/>
                <w:color w:val="0000FF"/>
                <w:sz w:val="18"/>
                <w:szCs w:val="18"/>
              </w:rPr>
              <w:t xml:space="preserve">understanding that box plots are an efficient and common way of representing and </w:t>
            </w:r>
            <w:proofErr w:type="spellStart"/>
            <w:r w:rsidRPr="00AB30EB">
              <w:rPr>
                <w:rFonts w:ascii="Helvetica" w:hAnsi="Helvetica" w:cs="Helvetica"/>
                <w:color w:val="0000FF"/>
                <w:sz w:val="18"/>
                <w:szCs w:val="18"/>
              </w:rPr>
              <w:t>summarising</w:t>
            </w:r>
            <w:proofErr w:type="spellEnd"/>
            <w:r w:rsidRPr="00AB30EB">
              <w:rPr>
                <w:rFonts w:ascii="Helvetica" w:hAnsi="Helvetica" w:cs="Helvetica"/>
                <w:color w:val="0000FF"/>
                <w:sz w:val="18"/>
                <w:szCs w:val="18"/>
              </w:rPr>
              <w:t xml:space="preserve"> data and can facilitate comparisons between data sets</w:t>
            </w:r>
          </w:p>
          <w:p w:rsidR="00720051" w:rsidRPr="00AB30EB" w:rsidRDefault="00720051" w:rsidP="00720051">
            <w:pPr>
              <w:pStyle w:val="ListParagraph"/>
              <w:widowControl w:val="0"/>
              <w:numPr>
                <w:ilvl w:val="0"/>
                <w:numId w:val="2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18"/>
                <w:szCs w:val="18"/>
              </w:rPr>
            </w:pPr>
            <w:r w:rsidRPr="00AB30EB">
              <w:rPr>
                <w:rFonts w:ascii="Helvetica" w:hAnsi="Helvetica" w:cs="Helvetica"/>
                <w:color w:val="0000FF"/>
                <w:sz w:val="18"/>
                <w:szCs w:val="18"/>
              </w:rPr>
              <w:t>using parallel box plots to compare data about the distribution of Aboriginal and Torres Strait Islander people by age with that of the Australian population as a whole</w:t>
            </w:r>
          </w:p>
          <w:p w:rsidR="00720051" w:rsidRDefault="00720051" w:rsidP="00720051">
            <w:pPr>
              <w:rPr>
                <w:rFonts w:ascii="Helvetica" w:hAnsi="Helvetica" w:cs="Helvetica"/>
                <w:color w:val="000000"/>
                <w:sz w:val="18"/>
                <w:szCs w:val="18"/>
              </w:rPr>
            </w:pPr>
            <w:r>
              <w:rPr>
                <w:rFonts w:ascii="Helvetica" w:hAnsi="Helvetica" w:cs="Helvetica"/>
                <w:color w:val="000000"/>
                <w:sz w:val="18"/>
                <w:szCs w:val="18"/>
              </w:rPr>
              <w:t>Compare shapes of box plots to corresponding histograms and dot plots (ACMSP250)</w:t>
            </w:r>
          </w:p>
          <w:p w:rsidR="00720051" w:rsidRPr="00AB30EB" w:rsidRDefault="00720051" w:rsidP="005F08B6">
            <w:pPr>
              <w:pStyle w:val="ListParagraph"/>
              <w:numPr>
                <w:ilvl w:val="0"/>
                <w:numId w:val="25"/>
              </w:numPr>
              <w:rPr>
                <w:rFonts w:ascii="Helvetica" w:hAnsi="Helvetica" w:cs="Helvetica"/>
                <w:color w:val="0000FF"/>
                <w:sz w:val="18"/>
                <w:szCs w:val="18"/>
              </w:rPr>
            </w:pPr>
            <w:r w:rsidRPr="00AB30EB">
              <w:rPr>
                <w:rFonts w:ascii="Helvetica" w:hAnsi="Helvetica" w:cs="Helvetica"/>
                <w:color w:val="0000FF"/>
                <w:sz w:val="18"/>
                <w:szCs w:val="18"/>
              </w:rPr>
              <w:t>Investigating data in different ways to make comparisons and draw conclusions</w:t>
            </w:r>
          </w:p>
          <w:p w:rsidR="00720051" w:rsidRDefault="00720051" w:rsidP="00720051">
            <w:pPr>
              <w:rPr>
                <w:rFonts w:ascii="Helvetica" w:hAnsi="Helvetica" w:cs="Helvetica"/>
                <w:color w:val="000000"/>
                <w:sz w:val="18"/>
                <w:szCs w:val="18"/>
              </w:rPr>
            </w:pPr>
            <w:r>
              <w:rPr>
                <w:rFonts w:ascii="Helvetica" w:hAnsi="Helvetica" w:cs="Helvetica"/>
                <w:color w:val="000000"/>
                <w:sz w:val="18"/>
                <w:szCs w:val="18"/>
              </w:rPr>
              <w:t>Use scatter plots to investigate and comment on relationships between two continuous variables (ACMSP251)</w:t>
            </w:r>
          </w:p>
          <w:p w:rsidR="00720051" w:rsidRPr="00AB30EB" w:rsidRDefault="00720051" w:rsidP="005F08B6">
            <w:pPr>
              <w:pStyle w:val="ListParagraph"/>
              <w:numPr>
                <w:ilvl w:val="0"/>
                <w:numId w:val="25"/>
              </w:numPr>
              <w:rPr>
                <w:rFonts w:ascii="Helvetica" w:hAnsi="Helvetica" w:cs="Helvetica"/>
                <w:color w:val="0000FF"/>
                <w:sz w:val="18"/>
                <w:szCs w:val="18"/>
              </w:rPr>
            </w:pPr>
            <w:r w:rsidRPr="00AB30EB">
              <w:rPr>
                <w:rFonts w:ascii="Helvetica" w:hAnsi="Helvetica" w:cs="Helvetica"/>
                <w:color w:val="0000FF"/>
                <w:sz w:val="18"/>
                <w:szCs w:val="18"/>
              </w:rPr>
              <w:t>using authentic data to construct scatter plots, make comparisons and draw conclusions</w:t>
            </w:r>
          </w:p>
          <w:p w:rsidR="00720051" w:rsidRDefault="00720051" w:rsidP="00720051">
            <w:pPr>
              <w:rPr>
                <w:rFonts w:ascii="Helvetica" w:hAnsi="Helvetica" w:cs="Helvetica"/>
                <w:color w:val="000000"/>
                <w:sz w:val="18"/>
                <w:szCs w:val="18"/>
              </w:rPr>
            </w:pPr>
            <w:r>
              <w:rPr>
                <w:rFonts w:ascii="Helvetica" w:hAnsi="Helvetica" w:cs="Helvetica"/>
                <w:color w:val="000000"/>
                <w:sz w:val="18"/>
                <w:szCs w:val="18"/>
              </w:rPr>
              <w:t xml:space="preserve">Investigate and describe bivariate numerical data where the independent variable is time (ACMSP252) </w:t>
            </w:r>
            <w:r>
              <w:rPr>
                <w:rFonts w:ascii="Helvetica" w:hAnsi="Helvetica" w:cs="Helvetica"/>
                <w:noProof/>
              </w:rPr>
              <w:drawing>
                <wp:inline distT="0" distB="0" distL="0" distR="0">
                  <wp:extent cx="158986" cy="143087"/>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9792" cy="143812"/>
                          </a:xfrm>
                          <a:prstGeom prst="rect">
                            <a:avLst/>
                          </a:prstGeom>
                          <a:noFill/>
                          <a:ln>
                            <a:noFill/>
                          </a:ln>
                        </pic:spPr>
                      </pic:pic>
                    </a:graphicData>
                  </a:graphic>
                </wp:inline>
              </w:drawing>
            </w:r>
          </w:p>
          <w:p w:rsidR="005F08B6" w:rsidRPr="00AB30EB" w:rsidRDefault="00720051" w:rsidP="00720051">
            <w:pPr>
              <w:pStyle w:val="ListParagraph"/>
              <w:widowControl w:val="0"/>
              <w:numPr>
                <w:ilvl w:val="0"/>
                <w:numId w:val="2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18"/>
                <w:szCs w:val="18"/>
              </w:rPr>
            </w:pPr>
            <w:r w:rsidRPr="00AB30EB">
              <w:rPr>
                <w:rFonts w:ascii="Helvetica" w:hAnsi="Helvetica" w:cs="Helvetica"/>
                <w:color w:val="0000FF"/>
                <w:sz w:val="18"/>
                <w:szCs w:val="18"/>
              </w:rPr>
              <w:t>constructing and interpreting data displays representing bivariate data over time</w:t>
            </w:r>
          </w:p>
          <w:p w:rsidR="00720051" w:rsidRPr="00AB30EB" w:rsidRDefault="00720051" w:rsidP="00720051">
            <w:pPr>
              <w:pStyle w:val="ListParagraph"/>
              <w:widowControl w:val="0"/>
              <w:numPr>
                <w:ilvl w:val="0"/>
                <w:numId w:val="2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18"/>
                <w:szCs w:val="18"/>
              </w:rPr>
            </w:pPr>
            <w:r w:rsidRPr="00AB30EB">
              <w:rPr>
                <w:rFonts w:ascii="Helvetica" w:hAnsi="Helvetica" w:cs="Helvetica"/>
                <w:color w:val="0000FF"/>
                <w:sz w:val="18"/>
                <w:szCs w:val="18"/>
              </w:rPr>
              <w:t>investigating biodiversity changes in Australia since white settlement</w:t>
            </w:r>
          </w:p>
          <w:p w:rsidR="00720051" w:rsidRDefault="00720051" w:rsidP="00720051">
            <w:pPr>
              <w:rPr>
                <w:rFonts w:ascii="Lucida Grande" w:hAnsi="Lucida Grande" w:cs="Lucida Grande"/>
                <w:b/>
                <w:color w:val="000000"/>
              </w:rPr>
            </w:pPr>
            <w:r>
              <w:rPr>
                <w:rFonts w:ascii="Helvetica" w:hAnsi="Helvetica" w:cs="Helvetica"/>
                <w:color w:val="000000"/>
                <w:sz w:val="18"/>
                <w:szCs w:val="18"/>
              </w:rPr>
              <w:t xml:space="preserve">Evaluate statistical reports in the media and other places by linking claims to displays, statistics and representative data (ACMSP253) </w:t>
            </w:r>
            <w:r w:rsidRPr="00622F78">
              <w:rPr>
                <w:rFonts w:ascii="Lucida Grande" w:hAnsi="Lucida Grande" w:cs="Lucida Grande"/>
                <w:b/>
                <w:color w:val="000000"/>
              </w:rPr>
              <w:t>ã</w:t>
            </w:r>
            <w:r>
              <w:rPr>
                <w:rFonts w:ascii="Lucida Grande" w:hAnsi="Lucida Grande" w:cs="Lucida Grande"/>
                <w:b/>
                <w:color w:val="000000"/>
              </w:rPr>
              <w:t xml:space="preserve"> </w:t>
            </w:r>
            <w:r>
              <w:rPr>
                <w:rFonts w:ascii="Helvetica" w:hAnsi="Helvetica" w:cs="Helvetica"/>
                <w:noProof/>
              </w:rPr>
              <w:drawing>
                <wp:inline distT="0" distB="0" distL="0" distR="0">
                  <wp:extent cx="172720" cy="185057"/>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2786" cy="185127"/>
                          </a:xfrm>
                          <a:prstGeom prst="rect">
                            <a:avLst/>
                          </a:prstGeom>
                          <a:noFill/>
                          <a:ln>
                            <a:noFill/>
                          </a:ln>
                        </pic:spPr>
                      </pic:pic>
                    </a:graphicData>
                  </a:graphic>
                </wp:inline>
              </w:drawing>
            </w:r>
          </w:p>
          <w:p w:rsidR="005F08B6" w:rsidRPr="00AB30EB" w:rsidRDefault="00720051" w:rsidP="00720051">
            <w:pPr>
              <w:pStyle w:val="ListParagraph"/>
              <w:widowControl w:val="0"/>
              <w:numPr>
                <w:ilvl w:val="0"/>
                <w:numId w:val="2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18"/>
                <w:szCs w:val="18"/>
              </w:rPr>
            </w:pPr>
            <w:r w:rsidRPr="00AB30EB">
              <w:rPr>
                <w:rFonts w:ascii="Helvetica" w:hAnsi="Helvetica" w:cs="Helvetica"/>
                <w:color w:val="0000FF"/>
                <w:sz w:val="18"/>
                <w:szCs w:val="18"/>
              </w:rPr>
              <w:t xml:space="preserve">investigating </w:t>
            </w:r>
            <w:proofErr w:type="spellStart"/>
            <w:r w:rsidRPr="00AB30EB">
              <w:rPr>
                <w:rFonts w:ascii="Helvetica" w:hAnsi="Helvetica" w:cs="Helvetica"/>
                <w:color w:val="0000FF"/>
                <w:sz w:val="18"/>
                <w:szCs w:val="18"/>
              </w:rPr>
              <w:t>real­life</w:t>
            </w:r>
            <w:proofErr w:type="spellEnd"/>
            <w:r w:rsidRPr="00AB30EB">
              <w:rPr>
                <w:rFonts w:ascii="Helvetica" w:hAnsi="Helvetica" w:cs="Helvetica"/>
                <w:color w:val="0000FF"/>
                <w:sz w:val="18"/>
                <w:szCs w:val="18"/>
              </w:rPr>
              <w:t xml:space="preserve"> examples that demonstrate that predicted outcomes can be accompanied by unpredicted effects, and understanding the causes for this (for example, Chinese </w:t>
            </w:r>
            <w:proofErr w:type="spellStart"/>
            <w:r w:rsidRPr="00AB30EB">
              <w:rPr>
                <w:rFonts w:ascii="Helvetica" w:hAnsi="Helvetica" w:cs="Helvetica"/>
                <w:color w:val="0000FF"/>
                <w:sz w:val="18"/>
                <w:szCs w:val="18"/>
              </w:rPr>
              <w:t>one­child</w:t>
            </w:r>
            <w:proofErr w:type="spellEnd"/>
            <w:r w:rsidRPr="00AB30EB">
              <w:rPr>
                <w:rFonts w:ascii="Helvetica" w:hAnsi="Helvetica" w:cs="Helvetica"/>
                <w:color w:val="0000FF"/>
                <w:sz w:val="18"/>
                <w:szCs w:val="18"/>
              </w:rPr>
              <w:t xml:space="preserve"> policy becoming the ‘</w:t>
            </w:r>
            <w:proofErr w:type="spellStart"/>
            <w:r w:rsidRPr="00AB30EB">
              <w:rPr>
                <w:rFonts w:ascii="Helvetica" w:hAnsi="Helvetica" w:cs="Helvetica"/>
                <w:color w:val="0000FF"/>
                <w:sz w:val="18"/>
                <w:szCs w:val="18"/>
              </w:rPr>
              <w:t>one­male</w:t>
            </w:r>
            <w:proofErr w:type="spellEnd"/>
            <w:r w:rsidRPr="00AB30EB">
              <w:rPr>
                <w:rFonts w:ascii="Helvetica" w:hAnsi="Helvetica" w:cs="Helvetica"/>
                <w:color w:val="0000FF"/>
                <w:sz w:val="18"/>
                <w:szCs w:val="18"/>
              </w:rPr>
              <w:t>’ policy)</w:t>
            </w:r>
          </w:p>
          <w:p w:rsidR="00720051" w:rsidRPr="00AB30EB" w:rsidRDefault="00720051" w:rsidP="00720051">
            <w:pPr>
              <w:pStyle w:val="ListParagraph"/>
              <w:widowControl w:val="0"/>
              <w:numPr>
                <w:ilvl w:val="0"/>
                <w:numId w:val="2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18"/>
                <w:szCs w:val="18"/>
              </w:rPr>
            </w:pPr>
            <w:r w:rsidRPr="00AB30EB">
              <w:rPr>
                <w:rFonts w:ascii="Helvetica" w:hAnsi="Helvetica" w:cs="Helvetica"/>
                <w:color w:val="0000FF"/>
                <w:sz w:val="18"/>
                <w:szCs w:val="18"/>
              </w:rPr>
              <w:t>evaluating statistical reports comparing the life expectancy of Aboriginal and Torres Strait Islander people with that of the Australian population as a whole</w:t>
            </w:r>
          </w:p>
          <w:p w:rsidR="00720051" w:rsidRPr="00720051" w:rsidRDefault="00720051" w:rsidP="00720051">
            <w:pPr>
              <w:rPr>
                <w:sz w:val="28"/>
                <w:szCs w:val="28"/>
              </w:rPr>
            </w:pPr>
          </w:p>
        </w:tc>
      </w:tr>
      <w:tr w:rsidR="00B97F28" w:rsidTr="00B97F28">
        <w:tc>
          <w:tcPr>
            <w:tcW w:w="15300" w:type="dxa"/>
            <w:gridSpan w:val="3"/>
            <w:shd w:val="clear" w:color="auto" w:fill="auto"/>
          </w:tcPr>
          <w:p w:rsidR="00B97F28" w:rsidRDefault="00B97F28" w:rsidP="00A45E99">
            <w:pPr>
              <w:rPr>
                <w:rFonts w:ascii="Helvetica" w:hAnsi="Helvetica" w:cs="Helvetica"/>
                <w:b/>
                <w:color w:val="000000"/>
                <w:sz w:val="28"/>
                <w:szCs w:val="28"/>
              </w:rPr>
            </w:pPr>
            <w:r w:rsidRPr="00B97F28">
              <w:rPr>
                <w:rFonts w:ascii="Helvetica" w:hAnsi="Helvetica" w:cs="Helvetica"/>
                <w:b/>
                <w:color w:val="000000"/>
                <w:sz w:val="28"/>
                <w:szCs w:val="28"/>
              </w:rPr>
              <w:lastRenderedPageBreak/>
              <w:t>Level 10 achievement standard</w:t>
            </w:r>
          </w:p>
          <w:p w:rsidR="00B97F28" w:rsidRDefault="00B97F28" w:rsidP="00B97F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8"/>
                <w:szCs w:val="18"/>
              </w:rPr>
            </w:pPr>
            <w:r>
              <w:rPr>
                <w:rFonts w:ascii="Helvetica" w:hAnsi="Helvetica" w:cs="Helvetica"/>
                <w:color w:val="000000"/>
                <w:sz w:val="18"/>
                <w:szCs w:val="18"/>
              </w:rPr>
              <w:t xml:space="preserve">By the end of Level 10, students </w:t>
            </w:r>
            <w:proofErr w:type="spellStart"/>
            <w:r>
              <w:rPr>
                <w:rFonts w:ascii="Helvetica" w:hAnsi="Helvetica" w:cs="Helvetica"/>
                <w:color w:val="000000"/>
                <w:sz w:val="18"/>
                <w:szCs w:val="18"/>
              </w:rPr>
              <w:t>recognise</w:t>
            </w:r>
            <w:proofErr w:type="spellEnd"/>
            <w:r>
              <w:rPr>
                <w:rFonts w:ascii="Helvetica" w:hAnsi="Helvetica" w:cs="Helvetica"/>
                <w:color w:val="000000"/>
                <w:sz w:val="18"/>
                <w:szCs w:val="18"/>
              </w:rPr>
              <w:t xml:space="preserve"> the connection between simple and compound interest. They solve problems involving linear equations and inequalities. They make the connections between algebraic and graphical representations of relations. Students solve surface area and volume problems relating to composite solids. They </w:t>
            </w:r>
            <w:proofErr w:type="spellStart"/>
            <w:r>
              <w:rPr>
                <w:rFonts w:ascii="Helvetica" w:hAnsi="Helvetica" w:cs="Helvetica"/>
                <w:color w:val="000000"/>
                <w:sz w:val="18"/>
                <w:szCs w:val="18"/>
              </w:rPr>
              <w:t>recognise</w:t>
            </w:r>
            <w:proofErr w:type="spellEnd"/>
            <w:r>
              <w:rPr>
                <w:rFonts w:ascii="Helvetica" w:hAnsi="Helvetica" w:cs="Helvetica"/>
                <w:color w:val="000000"/>
                <w:sz w:val="18"/>
                <w:szCs w:val="18"/>
              </w:rPr>
              <w:t xml:space="preserve"> the relationships between parallel and perpendicular lines. Students apply deductive reasoning to proofs and numerical exercises involving plane shapes. They compare data sets by referring to the shapes of the various data displays. They describe bivariate data where the independent variable is time. Students describe statistical relationships between two continuous variables. They evaluate statistical reports.</w:t>
            </w:r>
          </w:p>
          <w:p w:rsidR="00B97F28" w:rsidRPr="00B97F28" w:rsidRDefault="00B97F28" w:rsidP="00B97F28">
            <w:pPr>
              <w:rPr>
                <w:b/>
                <w:sz w:val="28"/>
                <w:szCs w:val="28"/>
              </w:rPr>
            </w:pPr>
            <w:r>
              <w:rPr>
                <w:rFonts w:ascii="Helvetica" w:hAnsi="Helvetica" w:cs="Helvetica"/>
                <w:color w:val="000000"/>
                <w:sz w:val="18"/>
                <w:szCs w:val="18"/>
              </w:rPr>
              <w:t xml:space="preserve">Students expand binomial expressions and </w:t>
            </w:r>
            <w:proofErr w:type="spellStart"/>
            <w:r>
              <w:rPr>
                <w:rFonts w:ascii="Helvetica" w:hAnsi="Helvetica" w:cs="Helvetica"/>
                <w:color w:val="000000"/>
                <w:sz w:val="18"/>
                <w:szCs w:val="18"/>
              </w:rPr>
              <w:t>factorise</w:t>
            </w:r>
            <w:proofErr w:type="spellEnd"/>
            <w:r>
              <w:rPr>
                <w:rFonts w:ascii="Helvetica" w:hAnsi="Helvetica" w:cs="Helvetica"/>
                <w:color w:val="000000"/>
                <w:sz w:val="18"/>
                <w:szCs w:val="18"/>
              </w:rPr>
              <w:t xml:space="preserve"> </w:t>
            </w:r>
            <w:proofErr w:type="spellStart"/>
            <w:r>
              <w:rPr>
                <w:rFonts w:ascii="Helvetica" w:hAnsi="Helvetica" w:cs="Helvetica"/>
                <w:color w:val="000000"/>
                <w:sz w:val="18"/>
                <w:szCs w:val="18"/>
              </w:rPr>
              <w:t>monic</w:t>
            </w:r>
            <w:proofErr w:type="spellEnd"/>
            <w:r>
              <w:rPr>
                <w:rFonts w:ascii="Helvetica" w:hAnsi="Helvetica" w:cs="Helvetica"/>
                <w:color w:val="000000"/>
                <w:sz w:val="18"/>
                <w:szCs w:val="18"/>
              </w:rPr>
              <w:t xml:space="preserve"> quadratic expressions. They find unknown values after substitution into formulas. They perform the four operations with simple algebraic fractions. Students solve simple quadratic equations and pairs of simultaneous equations. They use triangle and angle properties to prove congruence and similarity. Students use trigonometry to calculate unknown angles in </w:t>
            </w:r>
            <w:proofErr w:type="spellStart"/>
            <w:r>
              <w:rPr>
                <w:rFonts w:ascii="Helvetica" w:hAnsi="Helvetica" w:cs="Helvetica"/>
                <w:color w:val="000000"/>
                <w:sz w:val="18"/>
                <w:szCs w:val="18"/>
              </w:rPr>
              <w:t>right­angled</w:t>
            </w:r>
            <w:proofErr w:type="spellEnd"/>
            <w:r>
              <w:rPr>
                <w:rFonts w:ascii="Helvetica" w:hAnsi="Helvetica" w:cs="Helvetica"/>
                <w:color w:val="000000"/>
                <w:sz w:val="18"/>
                <w:szCs w:val="18"/>
              </w:rPr>
              <w:t xml:space="preserve"> triangles. Students list outcomes for multi­step chance experiments and assign probabilities for these experiments. They calculate quartiles and inter­quartile ranges.</w:t>
            </w:r>
          </w:p>
        </w:tc>
      </w:tr>
    </w:tbl>
    <w:p w:rsidR="003753E1" w:rsidRDefault="003753E1" w:rsidP="00D47B1F">
      <w:pPr>
        <w:rPr>
          <w:sz w:val="28"/>
          <w:szCs w:val="28"/>
        </w:rPr>
      </w:pPr>
    </w:p>
    <w:p w:rsidR="00DF27E4" w:rsidRDefault="00DF27E4" w:rsidP="00866652">
      <w:pPr>
        <w:ind w:left="5040" w:firstLine="720"/>
        <w:rPr>
          <w:sz w:val="28"/>
          <w:szCs w:val="28"/>
        </w:rPr>
      </w:pPr>
      <w:proofErr w:type="gramStart"/>
      <w:r>
        <w:rPr>
          <w:sz w:val="28"/>
          <w:szCs w:val="28"/>
        </w:rPr>
        <w:t>Reference :</w:t>
      </w:r>
      <w:proofErr w:type="gramEnd"/>
      <w:r>
        <w:rPr>
          <w:sz w:val="28"/>
          <w:szCs w:val="28"/>
        </w:rPr>
        <w:t xml:space="preserve"> </w:t>
      </w:r>
      <w:hyperlink r:id="rId11" w:history="1">
        <w:r w:rsidRPr="006666FC">
          <w:rPr>
            <w:rStyle w:val="Hyperlink"/>
            <w:sz w:val="28"/>
            <w:szCs w:val="28"/>
          </w:rPr>
          <w:t>http://ausvels.vcaa.vic.edu.au/</w:t>
        </w:r>
      </w:hyperlink>
    </w:p>
    <w:p w:rsidR="00DF27E4" w:rsidRPr="003753E1" w:rsidRDefault="00DF27E4" w:rsidP="00DF27E4">
      <w:pPr>
        <w:jc w:val="center"/>
        <w:rPr>
          <w:sz w:val="28"/>
          <w:szCs w:val="28"/>
        </w:rPr>
      </w:pPr>
      <w:r>
        <w:rPr>
          <w:sz w:val="28"/>
          <w:szCs w:val="28"/>
        </w:rPr>
        <w:t>This grid is an adaption of the information from the VCAA site to create a visual representation to assist teachers.</w:t>
      </w:r>
    </w:p>
    <w:p w:rsidR="00866652" w:rsidRPr="00F12378" w:rsidRDefault="00866652" w:rsidP="00866652">
      <w:pPr>
        <w:jc w:val="center"/>
        <w:rPr>
          <w:sz w:val="32"/>
          <w:szCs w:val="32"/>
        </w:rPr>
      </w:pPr>
      <w:bookmarkStart w:id="1" w:name="OLE_LINK1"/>
      <w:bookmarkStart w:id="2" w:name="OLE_LINK2"/>
      <w:r>
        <w:rPr>
          <w:sz w:val="32"/>
          <w:szCs w:val="32"/>
        </w:rPr>
        <w:t>Cross-curriculum priorities to be included in all learning areas: Aboriginal and Torres Strait Islander histories and cultures (</w:t>
      </w:r>
      <w:r>
        <w:rPr>
          <w:rFonts w:ascii="Helvetica" w:hAnsi="Helvetica" w:cs="Helvetica"/>
          <w:noProof/>
        </w:rPr>
        <w:drawing>
          <wp:inline distT="0" distB="0" distL="0" distR="0">
            <wp:extent cx="187960" cy="201387"/>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8032" cy="201464"/>
                    </a:xfrm>
                    <a:prstGeom prst="rect">
                      <a:avLst/>
                    </a:prstGeom>
                    <a:noFill/>
                    <a:ln>
                      <a:noFill/>
                    </a:ln>
                  </pic:spPr>
                </pic:pic>
              </a:graphicData>
            </a:graphic>
          </wp:inline>
        </w:drawing>
      </w:r>
      <w:r>
        <w:rPr>
          <w:sz w:val="32"/>
          <w:szCs w:val="32"/>
        </w:rPr>
        <w:t>); Asia and Australia’s engagement with Australia (</w:t>
      </w:r>
      <w:proofErr w:type="gramStart"/>
      <w:r>
        <w:rPr>
          <w:rFonts w:ascii="Cambria" w:hAnsi="Cambria"/>
          <w:sz w:val="32"/>
          <w:szCs w:val="32"/>
        </w:rPr>
        <w:t>ã</w:t>
      </w:r>
      <w:r>
        <w:rPr>
          <w:sz w:val="32"/>
          <w:szCs w:val="32"/>
        </w:rPr>
        <w:t xml:space="preserve"> )</w:t>
      </w:r>
      <w:proofErr w:type="gramEnd"/>
      <w:r>
        <w:rPr>
          <w:sz w:val="32"/>
          <w:szCs w:val="32"/>
        </w:rPr>
        <w:t>; Sustainability (</w:t>
      </w:r>
      <w:r>
        <w:rPr>
          <w:rFonts w:ascii="Helvetica" w:hAnsi="Helvetica" w:cs="Helvetica"/>
          <w:noProof/>
        </w:rPr>
        <w:drawing>
          <wp:inline distT="0" distB="0" distL="0" distR="0">
            <wp:extent cx="223520" cy="201168"/>
            <wp:effectExtent l="0" t="0" r="508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3520" cy="201168"/>
                    </a:xfrm>
                    <a:prstGeom prst="rect">
                      <a:avLst/>
                    </a:prstGeom>
                    <a:noFill/>
                    <a:ln>
                      <a:noFill/>
                    </a:ln>
                  </pic:spPr>
                </pic:pic>
              </a:graphicData>
            </a:graphic>
          </wp:inline>
        </w:drawing>
      </w:r>
      <w:r>
        <w:rPr>
          <w:sz w:val="32"/>
          <w:szCs w:val="32"/>
        </w:rPr>
        <w:t>)</w:t>
      </w:r>
      <w:bookmarkEnd w:id="1"/>
      <w:bookmarkEnd w:id="2"/>
    </w:p>
    <w:p w:rsidR="00DF27E4" w:rsidRPr="00D47B1F" w:rsidRDefault="00DF27E4" w:rsidP="00866652">
      <w:pPr>
        <w:jc w:val="center"/>
        <w:rPr>
          <w:sz w:val="28"/>
          <w:szCs w:val="28"/>
        </w:rPr>
      </w:pPr>
    </w:p>
    <w:sectPr w:rsidR="00DF27E4" w:rsidRPr="00D47B1F" w:rsidSect="00FA7579">
      <w:footerReference w:type="default" r:id="rId12"/>
      <w:pgSz w:w="16840" w:h="23820"/>
      <w:pgMar w:top="1152" w:right="432" w:bottom="1152" w:left="43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0051" w:rsidRDefault="00720051" w:rsidP="002755AA">
      <w:r>
        <w:separator/>
      </w:r>
    </w:p>
  </w:endnote>
  <w:endnote w:type="continuationSeparator" w:id="0">
    <w:p w:rsidR="00720051" w:rsidRDefault="00720051" w:rsidP="00275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altName w:val="Arial"/>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051" w:rsidRPr="00C307E1" w:rsidRDefault="00B97F28">
    <w:pPr>
      <w:pStyle w:val="Footer"/>
      <w:rPr>
        <w:sz w:val="20"/>
        <w:szCs w:val="20"/>
      </w:rPr>
    </w:pPr>
    <w:r>
      <w:rPr>
        <w:sz w:val="20"/>
        <w:szCs w:val="20"/>
      </w:rPr>
      <w:t>Level10MathCEOB</w:t>
    </w:r>
    <w:r w:rsidR="00E04D51">
      <w:rPr>
        <w:sz w:val="20"/>
        <w:szCs w:val="20"/>
      </w:rPr>
      <w:t>May2012</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0051" w:rsidRDefault="00720051" w:rsidP="002755AA">
      <w:r>
        <w:separator/>
      </w:r>
    </w:p>
  </w:footnote>
  <w:footnote w:type="continuationSeparator" w:id="0">
    <w:p w:rsidR="00720051" w:rsidRDefault="00720051" w:rsidP="002755A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E20BE"/>
    <w:multiLevelType w:val="hybridMultilevel"/>
    <w:tmpl w:val="B922B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610485"/>
    <w:multiLevelType w:val="hybridMultilevel"/>
    <w:tmpl w:val="3FF05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C17720"/>
    <w:multiLevelType w:val="hybridMultilevel"/>
    <w:tmpl w:val="8D3CD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9078F8"/>
    <w:multiLevelType w:val="hybridMultilevel"/>
    <w:tmpl w:val="126C0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DF2ABF"/>
    <w:multiLevelType w:val="hybridMultilevel"/>
    <w:tmpl w:val="2780A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CC7105"/>
    <w:multiLevelType w:val="hybridMultilevel"/>
    <w:tmpl w:val="30E2B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2E0ACB"/>
    <w:multiLevelType w:val="hybridMultilevel"/>
    <w:tmpl w:val="2E387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8D4DCC"/>
    <w:multiLevelType w:val="hybridMultilevel"/>
    <w:tmpl w:val="B24A3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BB5006C"/>
    <w:multiLevelType w:val="hybridMultilevel"/>
    <w:tmpl w:val="9A1CC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22C7427"/>
    <w:multiLevelType w:val="hybridMultilevel"/>
    <w:tmpl w:val="BD8A0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6F050E1"/>
    <w:multiLevelType w:val="hybridMultilevel"/>
    <w:tmpl w:val="38F0A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9A35CA3"/>
    <w:multiLevelType w:val="hybridMultilevel"/>
    <w:tmpl w:val="FFC0F840"/>
    <w:lvl w:ilvl="0" w:tplc="64184276">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EBE491A"/>
    <w:multiLevelType w:val="hybridMultilevel"/>
    <w:tmpl w:val="3D50A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0345126"/>
    <w:multiLevelType w:val="hybridMultilevel"/>
    <w:tmpl w:val="AFFCC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7596CCC"/>
    <w:multiLevelType w:val="hybridMultilevel"/>
    <w:tmpl w:val="5A669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EA560F0"/>
    <w:multiLevelType w:val="hybridMultilevel"/>
    <w:tmpl w:val="DBF84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643104B"/>
    <w:multiLevelType w:val="hybridMultilevel"/>
    <w:tmpl w:val="9ED82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A042382"/>
    <w:multiLevelType w:val="hybridMultilevel"/>
    <w:tmpl w:val="E83E1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F2A23B2"/>
    <w:multiLevelType w:val="hybridMultilevel"/>
    <w:tmpl w:val="DC2C2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FB269C7"/>
    <w:multiLevelType w:val="hybridMultilevel"/>
    <w:tmpl w:val="BC440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02E00B1"/>
    <w:multiLevelType w:val="hybridMultilevel"/>
    <w:tmpl w:val="51A0D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2EB106A"/>
    <w:multiLevelType w:val="hybridMultilevel"/>
    <w:tmpl w:val="CA2ED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780601A"/>
    <w:multiLevelType w:val="hybridMultilevel"/>
    <w:tmpl w:val="FBE04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5272EA5"/>
    <w:multiLevelType w:val="hybridMultilevel"/>
    <w:tmpl w:val="7090C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66D0781"/>
    <w:multiLevelType w:val="hybridMultilevel"/>
    <w:tmpl w:val="BBAA1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CA5294B"/>
    <w:multiLevelType w:val="hybridMultilevel"/>
    <w:tmpl w:val="1CA8A508"/>
    <w:lvl w:ilvl="0" w:tplc="B7364950">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7"/>
  </w:num>
  <w:num w:numId="3">
    <w:abstractNumId w:val="4"/>
  </w:num>
  <w:num w:numId="4">
    <w:abstractNumId w:val="7"/>
  </w:num>
  <w:num w:numId="5">
    <w:abstractNumId w:val="20"/>
  </w:num>
  <w:num w:numId="6">
    <w:abstractNumId w:val="2"/>
  </w:num>
  <w:num w:numId="7">
    <w:abstractNumId w:val="18"/>
  </w:num>
  <w:num w:numId="8">
    <w:abstractNumId w:val="12"/>
  </w:num>
  <w:num w:numId="9">
    <w:abstractNumId w:val="14"/>
  </w:num>
  <w:num w:numId="10">
    <w:abstractNumId w:val="13"/>
  </w:num>
  <w:num w:numId="11">
    <w:abstractNumId w:val="22"/>
  </w:num>
  <w:num w:numId="12">
    <w:abstractNumId w:val="5"/>
  </w:num>
  <w:num w:numId="13">
    <w:abstractNumId w:val="9"/>
  </w:num>
  <w:num w:numId="14">
    <w:abstractNumId w:val="25"/>
  </w:num>
  <w:num w:numId="15">
    <w:abstractNumId w:val="19"/>
  </w:num>
  <w:num w:numId="16">
    <w:abstractNumId w:val="16"/>
  </w:num>
  <w:num w:numId="17">
    <w:abstractNumId w:val="11"/>
  </w:num>
  <w:num w:numId="18">
    <w:abstractNumId w:val="10"/>
  </w:num>
  <w:num w:numId="19">
    <w:abstractNumId w:val="8"/>
  </w:num>
  <w:num w:numId="20">
    <w:abstractNumId w:val="3"/>
  </w:num>
  <w:num w:numId="21">
    <w:abstractNumId w:val="21"/>
  </w:num>
  <w:num w:numId="22">
    <w:abstractNumId w:val="23"/>
  </w:num>
  <w:num w:numId="23">
    <w:abstractNumId w:val="24"/>
  </w:num>
  <w:num w:numId="24">
    <w:abstractNumId w:val="15"/>
  </w:num>
  <w:num w:numId="25">
    <w:abstractNumId w:val="6"/>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2"/>
  </w:compat>
  <w:rsids>
    <w:rsidRoot w:val="003753E1"/>
    <w:rsid w:val="00014EEE"/>
    <w:rsid w:val="00081F26"/>
    <w:rsid w:val="000A2509"/>
    <w:rsid w:val="000B166B"/>
    <w:rsid w:val="000B4120"/>
    <w:rsid w:val="000B7550"/>
    <w:rsid w:val="000C7AE7"/>
    <w:rsid w:val="00101440"/>
    <w:rsid w:val="00116F19"/>
    <w:rsid w:val="001B548B"/>
    <w:rsid w:val="001C1A06"/>
    <w:rsid w:val="001C2682"/>
    <w:rsid w:val="002108AD"/>
    <w:rsid w:val="00235DBE"/>
    <w:rsid w:val="00267AE4"/>
    <w:rsid w:val="002755AA"/>
    <w:rsid w:val="00277455"/>
    <w:rsid w:val="00277B5A"/>
    <w:rsid w:val="002834FB"/>
    <w:rsid w:val="002B16B8"/>
    <w:rsid w:val="002B7766"/>
    <w:rsid w:val="00305D03"/>
    <w:rsid w:val="00363F7B"/>
    <w:rsid w:val="0036676B"/>
    <w:rsid w:val="003753E1"/>
    <w:rsid w:val="003902C6"/>
    <w:rsid w:val="003B21F7"/>
    <w:rsid w:val="003D5B63"/>
    <w:rsid w:val="003E5BA0"/>
    <w:rsid w:val="003F09B9"/>
    <w:rsid w:val="00404620"/>
    <w:rsid w:val="00413F3E"/>
    <w:rsid w:val="0042138B"/>
    <w:rsid w:val="004261AC"/>
    <w:rsid w:val="00461BBE"/>
    <w:rsid w:val="00472A02"/>
    <w:rsid w:val="0048454C"/>
    <w:rsid w:val="004A3C97"/>
    <w:rsid w:val="004C3E83"/>
    <w:rsid w:val="004D0EF1"/>
    <w:rsid w:val="004D7D96"/>
    <w:rsid w:val="00520057"/>
    <w:rsid w:val="00531879"/>
    <w:rsid w:val="00534B75"/>
    <w:rsid w:val="00536C91"/>
    <w:rsid w:val="00537827"/>
    <w:rsid w:val="00562BA7"/>
    <w:rsid w:val="00564A3D"/>
    <w:rsid w:val="0057120C"/>
    <w:rsid w:val="00572232"/>
    <w:rsid w:val="00594040"/>
    <w:rsid w:val="005A21B9"/>
    <w:rsid w:val="005A2ABE"/>
    <w:rsid w:val="005A4DE0"/>
    <w:rsid w:val="005B7909"/>
    <w:rsid w:val="005F08B6"/>
    <w:rsid w:val="00602820"/>
    <w:rsid w:val="0061667B"/>
    <w:rsid w:val="006176E1"/>
    <w:rsid w:val="006305C6"/>
    <w:rsid w:val="00653356"/>
    <w:rsid w:val="00670C90"/>
    <w:rsid w:val="006713F4"/>
    <w:rsid w:val="006948CB"/>
    <w:rsid w:val="006B1795"/>
    <w:rsid w:val="006B40D5"/>
    <w:rsid w:val="006C12B1"/>
    <w:rsid w:val="006E1B71"/>
    <w:rsid w:val="006F3918"/>
    <w:rsid w:val="00714DB5"/>
    <w:rsid w:val="00720051"/>
    <w:rsid w:val="0078213C"/>
    <w:rsid w:val="00793C9F"/>
    <w:rsid w:val="007D3724"/>
    <w:rsid w:val="007E6A32"/>
    <w:rsid w:val="008125BD"/>
    <w:rsid w:val="00815B62"/>
    <w:rsid w:val="00824DA7"/>
    <w:rsid w:val="00847807"/>
    <w:rsid w:val="00866652"/>
    <w:rsid w:val="00873969"/>
    <w:rsid w:val="0089074B"/>
    <w:rsid w:val="008A45CD"/>
    <w:rsid w:val="008B68F8"/>
    <w:rsid w:val="008D6B00"/>
    <w:rsid w:val="008D7B0B"/>
    <w:rsid w:val="008E7FFC"/>
    <w:rsid w:val="008F7682"/>
    <w:rsid w:val="0092076A"/>
    <w:rsid w:val="00927263"/>
    <w:rsid w:val="009416C3"/>
    <w:rsid w:val="00950BA8"/>
    <w:rsid w:val="00970B94"/>
    <w:rsid w:val="00983A63"/>
    <w:rsid w:val="009B0626"/>
    <w:rsid w:val="009E1646"/>
    <w:rsid w:val="009E52F5"/>
    <w:rsid w:val="009F2507"/>
    <w:rsid w:val="009F4771"/>
    <w:rsid w:val="00A223A2"/>
    <w:rsid w:val="00A32ECD"/>
    <w:rsid w:val="00A41A3D"/>
    <w:rsid w:val="00A45E99"/>
    <w:rsid w:val="00A663FA"/>
    <w:rsid w:val="00A73097"/>
    <w:rsid w:val="00A94D7A"/>
    <w:rsid w:val="00AA4080"/>
    <w:rsid w:val="00AB30EB"/>
    <w:rsid w:val="00AE0D2D"/>
    <w:rsid w:val="00AE5990"/>
    <w:rsid w:val="00AE6406"/>
    <w:rsid w:val="00B238ED"/>
    <w:rsid w:val="00B55A0A"/>
    <w:rsid w:val="00B82310"/>
    <w:rsid w:val="00B914F4"/>
    <w:rsid w:val="00B95D6E"/>
    <w:rsid w:val="00B97F28"/>
    <w:rsid w:val="00BA3453"/>
    <w:rsid w:val="00BF55DA"/>
    <w:rsid w:val="00C01057"/>
    <w:rsid w:val="00C17C1E"/>
    <w:rsid w:val="00C307E1"/>
    <w:rsid w:val="00C35BA5"/>
    <w:rsid w:val="00C40806"/>
    <w:rsid w:val="00C45807"/>
    <w:rsid w:val="00C547EB"/>
    <w:rsid w:val="00C92842"/>
    <w:rsid w:val="00C962AC"/>
    <w:rsid w:val="00CB1D1F"/>
    <w:rsid w:val="00CB7BB4"/>
    <w:rsid w:val="00D453C3"/>
    <w:rsid w:val="00D47B1F"/>
    <w:rsid w:val="00D70BE3"/>
    <w:rsid w:val="00DA11AA"/>
    <w:rsid w:val="00DC74F2"/>
    <w:rsid w:val="00DD4C34"/>
    <w:rsid w:val="00DE03C3"/>
    <w:rsid w:val="00DE24D1"/>
    <w:rsid w:val="00DF1829"/>
    <w:rsid w:val="00DF27E4"/>
    <w:rsid w:val="00E04D51"/>
    <w:rsid w:val="00E72BD1"/>
    <w:rsid w:val="00EA4C82"/>
    <w:rsid w:val="00EA7AC4"/>
    <w:rsid w:val="00EB388A"/>
    <w:rsid w:val="00EB74A5"/>
    <w:rsid w:val="00EE317A"/>
    <w:rsid w:val="00F004FC"/>
    <w:rsid w:val="00F24558"/>
    <w:rsid w:val="00F25FC2"/>
    <w:rsid w:val="00FA7579"/>
    <w:rsid w:val="00FD1908"/>
    <w:rsid w:val="00FD40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E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753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E5BA0"/>
    <w:pPr>
      <w:ind w:left="720"/>
      <w:contextualSpacing/>
    </w:pPr>
  </w:style>
  <w:style w:type="paragraph" w:styleId="Header">
    <w:name w:val="header"/>
    <w:basedOn w:val="Normal"/>
    <w:link w:val="HeaderChar"/>
    <w:uiPriority w:val="99"/>
    <w:unhideWhenUsed/>
    <w:rsid w:val="002755AA"/>
    <w:pPr>
      <w:tabs>
        <w:tab w:val="center" w:pos="4320"/>
        <w:tab w:val="right" w:pos="8640"/>
      </w:tabs>
    </w:pPr>
  </w:style>
  <w:style w:type="character" w:customStyle="1" w:styleId="HeaderChar">
    <w:name w:val="Header Char"/>
    <w:basedOn w:val="DefaultParagraphFont"/>
    <w:link w:val="Header"/>
    <w:uiPriority w:val="99"/>
    <w:rsid w:val="002755AA"/>
  </w:style>
  <w:style w:type="paragraph" w:styleId="Footer">
    <w:name w:val="footer"/>
    <w:basedOn w:val="Normal"/>
    <w:link w:val="FooterChar"/>
    <w:uiPriority w:val="99"/>
    <w:unhideWhenUsed/>
    <w:rsid w:val="002755AA"/>
    <w:pPr>
      <w:tabs>
        <w:tab w:val="center" w:pos="4320"/>
        <w:tab w:val="right" w:pos="8640"/>
      </w:tabs>
    </w:pPr>
  </w:style>
  <w:style w:type="character" w:customStyle="1" w:styleId="FooterChar">
    <w:name w:val="Footer Char"/>
    <w:basedOn w:val="DefaultParagraphFont"/>
    <w:link w:val="Footer"/>
    <w:uiPriority w:val="99"/>
    <w:rsid w:val="002755AA"/>
  </w:style>
  <w:style w:type="paragraph" w:styleId="BalloonText">
    <w:name w:val="Balloon Text"/>
    <w:basedOn w:val="Normal"/>
    <w:link w:val="BalloonTextChar"/>
    <w:uiPriority w:val="99"/>
    <w:semiHidden/>
    <w:unhideWhenUsed/>
    <w:rsid w:val="0072005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20051"/>
    <w:rPr>
      <w:rFonts w:ascii="Lucida Grande" w:hAnsi="Lucida Grande" w:cs="Lucida Grande"/>
      <w:sz w:val="18"/>
      <w:szCs w:val="18"/>
    </w:rPr>
  </w:style>
  <w:style w:type="character" w:styleId="Hyperlink">
    <w:name w:val="Hyperlink"/>
    <w:basedOn w:val="DefaultParagraphFont"/>
    <w:uiPriority w:val="99"/>
    <w:unhideWhenUsed/>
    <w:rsid w:val="00DF27E4"/>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753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E5BA0"/>
    <w:pPr>
      <w:ind w:left="720"/>
      <w:contextualSpacing/>
    </w:pPr>
  </w:style>
  <w:style w:type="paragraph" w:styleId="Header">
    <w:name w:val="header"/>
    <w:basedOn w:val="Normal"/>
    <w:link w:val="HeaderChar"/>
    <w:uiPriority w:val="99"/>
    <w:unhideWhenUsed/>
    <w:rsid w:val="002755AA"/>
    <w:pPr>
      <w:tabs>
        <w:tab w:val="center" w:pos="4320"/>
        <w:tab w:val="right" w:pos="8640"/>
      </w:tabs>
    </w:pPr>
  </w:style>
  <w:style w:type="character" w:customStyle="1" w:styleId="HeaderChar">
    <w:name w:val="Header Char"/>
    <w:basedOn w:val="DefaultParagraphFont"/>
    <w:link w:val="Header"/>
    <w:uiPriority w:val="99"/>
    <w:rsid w:val="002755AA"/>
  </w:style>
  <w:style w:type="paragraph" w:styleId="Footer">
    <w:name w:val="footer"/>
    <w:basedOn w:val="Normal"/>
    <w:link w:val="FooterChar"/>
    <w:uiPriority w:val="99"/>
    <w:unhideWhenUsed/>
    <w:rsid w:val="002755AA"/>
    <w:pPr>
      <w:tabs>
        <w:tab w:val="center" w:pos="4320"/>
        <w:tab w:val="right" w:pos="8640"/>
      </w:tabs>
    </w:pPr>
  </w:style>
  <w:style w:type="character" w:customStyle="1" w:styleId="FooterChar">
    <w:name w:val="Footer Char"/>
    <w:basedOn w:val="DefaultParagraphFont"/>
    <w:link w:val="Footer"/>
    <w:uiPriority w:val="99"/>
    <w:rsid w:val="002755AA"/>
  </w:style>
  <w:style w:type="paragraph" w:styleId="BalloonText">
    <w:name w:val="Balloon Text"/>
    <w:basedOn w:val="Normal"/>
    <w:link w:val="BalloonTextChar"/>
    <w:uiPriority w:val="99"/>
    <w:semiHidden/>
    <w:unhideWhenUsed/>
    <w:rsid w:val="0072005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20051"/>
    <w:rPr>
      <w:rFonts w:ascii="Lucida Grande" w:hAnsi="Lucida Grande" w:cs="Lucida Grande"/>
      <w:sz w:val="18"/>
      <w:szCs w:val="18"/>
    </w:rPr>
  </w:style>
  <w:style w:type="character" w:styleId="Hyperlink">
    <w:name w:val="Hyperlink"/>
    <w:basedOn w:val="DefaultParagraphFont"/>
    <w:uiPriority w:val="99"/>
    <w:unhideWhenUsed/>
    <w:rsid w:val="00DF27E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ausvels.vcaa.vic.edu.au/"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C4C161-6086-FE4D-AE6B-484484D67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1865</Words>
  <Characters>10634</Characters>
  <Application>Microsoft Macintosh Word</Application>
  <DocSecurity>0</DocSecurity>
  <Lines>88</Lines>
  <Paragraphs>24</Paragraphs>
  <ScaleCrop>false</ScaleCrop>
  <Company>CEO Ballarat</Company>
  <LinksUpToDate>false</LinksUpToDate>
  <CharactersWithSpaces>12475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Doody</dc:creator>
  <cp:keywords/>
  <dc:description/>
  <cp:lastModifiedBy>Anne Doody</cp:lastModifiedBy>
  <cp:revision>2</cp:revision>
  <cp:lastPrinted>2012-05-07T05:45:00Z</cp:lastPrinted>
  <dcterms:created xsi:type="dcterms:W3CDTF">2012-06-06T00:38:00Z</dcterms:created>
  <dcterms:modified xsi:type="dcterms:W3CDTF">2012-06-06T00:38:00Z</dcterms:modified>
</cp:coreProperties>
</file>