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97" w:rsidRPr="004E214D" w:rsidRDefault="006767A0" w:rsidP="008D7B0B">
      <w:pPr>
        <w:jc w:val="center"/>
        <w:rPr>
          <w:b/>
          <w:sz w:val="32"/>
          <w:szCs w:val="32"/>
          <w:u w:val="single"/>
        </w:rPr>
      </w:pPr>
      <w:bookmarkStart w:id="0" w:name="_GoBack"/>
      <w:bookmarkEnd w:id="0"/>
      <w:r>
        <w:rPr>
          <w:b/>
          <w:sz w:val="32"/>
          <w:szCs w:val="32"/>
          <w:u w:val="single"/>
        </w:rPr>
        <w:t>AUSVELS-</w:t>
      </w:r>
      <w:r w:rsidR="000B4120" w:rsidRPr="004E214D">
        <w:rPr>
          <w:b/>
          <w:sz w:val="32"/>
          <w:szCs w:val="32"/>
          <w:u w:val="single"/>
        </w:rPr>
        <w:t xml:space="preserve"> Australian MATHEMATICS </w:t>
      </w:r>
      <w:r w:rsidR="003753E1" w:rsidRPr="004E214D">
        <w:rPr>
          <w:b/>
          <w:sz w:val="32"/>
          <w:szCs w:val="32"/>
          <w:u w:val="single"/>
        </w:rPr>
        <w:t>Curriculum, F-10:</w:t>
      </w:r>
    </w:p>
    <w:p w:rsidR="001C2682" w:rsidRPr="004E214D" w:rsidRDefault="001C2682" w:rsidP="008D7B0B">
      <w:pPr>
        <w:jc w:val="center"/>
        <w:rPr>
          <w:b/>
          <w:sz w:val="32"/>
          <w:szCs w:val="32"/>
          <w:u w:val="single"/>
        </w:rPr>
      </w:pPr>
    </w:p>
    <w:p w:rsidR="003753E1" w:rsidRPr="004E214D" w:rsidRDefault="00FD40CF" w:rsidP="001C2682">
      <w:pPr>
        <w:jc w:val="center"/>
        <w:rPr>
          <w:b/>
          <w:sz w:val="32"/>
          <w:szCs w:val="32"/>
        </w:rPr>
      </w:pPr>
      <w:r w:rsidRPr="004E214D">
        <w:rPr>
          <w:b/>
          <w:sz w:val="32"/>
          <w:szCs w:val="32"/>
        </w:rPr>
        <w:t>Proficiency Strands: Understanding, Fluency, Problem Solving and Reasoning</w:t>
      </w:r>
    </w:p>
    <w:p w:rsidR="00FD40CF" w:rsidRPr="004E214D" w:rsidRDefault="00FD40CF" w:rsidP="001C2682">
      <w:pPr>
        <w:jc w:val="center"/>
        <w:rPr>
          <w:color w:val="0000FF"/>
          <w:sz w:val="32"/>
          <w:szCs w:val="32"/>
        </w:rPr>
      </w:pPr>
      <w:r w:rsidRPr="004E214D">
        <w:rPr>
          <w:b/>
          <w:sz w:val="32"/>
          <w:szCs w:val="32"/>
        </w:rPr>
        <w:t>Content Strands: Number &amp; Algebra, Measurement &amp; Geometry, Statistics &amp; Probability</w:t>
      </w:r>
    </w:p>
    <w:p w:rsidR="00D70BE3" w:rsidRDefault="00D70BE3">
      <w:pPr>
        <w:rPr>
          <w:sz w:val="28"/>
          <w:szCs w:val="28"/>
        </w:rPr>
      </w:pPr>
    </w:p>
    <w:p w:rsidR="003753E1" w:rsidRPr="00413465" w:rsidRDefault="00564A3D" w:rsidP="003753E1">
      <w:pPr>
        <w:jc w:val="center"/>
        <w:rPr>
          <w:b/>
          <w:sz w:val="28"/>
          <w:szCs w:val="28"/>
        </w:rPr>
      </w:pPr>
      <w:r w:rsidRPr="00413465">
        <w:rPr>
          <w:b/>
          <w:sz w:val="28"/>
          <w:szCs w:val="28"/>
        </w:rPr>
        <w:t xml:space="preserve">For </w:t>
      </w:r>
      <w:r w:rsidR="006767A0" w:rsidRPr="00413465">
        <w:rPr>
          <w:b/>
          <w:sz w:val="28"/>
          <w:szCs w:val="28"/>
        </w:rPr>
        <w:t>Level</w:t>
      </w:r>
      <w:r w:rsidR="00F004FC" w:rsidRPr="00413465">
        <w:rPr>
          <w:b/>
          <w:sz w:val="28"/>
          <w:szCs w:val="28"/>
        </w:rPr>
        <w:t xml:space="preserve"> 9</w:t>
      </w:r>
      <w:r w:rsidR="00FD40CF" w:rsidRPr="00413465">
        <w:rPr>
          <w:b/>
          <w:sz w:val="28"/>
          <w:szCs w:val="28"/>
        </w:rPr>
        <w:t xml:space="preserve"> Maths</w:t>
      </w:r>
      <w:r w:rsidR="003E5BA0" w:rsidRPr="00413465">
        <w:rPr>
          <w:b/>
          <w:sz w:val="28"/>
          <w:szCs w:val="28"/>
        </w:rPr>
        <w:t xml:space="preserve"> Students</w:t>
      </w:r>
      <w:r w:rsidR="003753E1" w:rsidRPr="00413465">
        <w:rPr>
          <w:b/>
          <w:sz w:val="28"/>
          <w:szCs w:val="28"/>
        </w:rPr>
        <w:t>:</w:t>
      </w:r>
    </w:p>
    <w:p w:rsidR="003E5BA0" w:rsidRPr="00413465" w:rsidRDefault="00FD40CF" w:rsidP="003E5BA0">
      <w:pPr>
        <w:pStyle w:val="ListParagraph"/>
        <w:numPr>
          <w:ilvl w:val="0"/>
          <w:numId w:val="1"/>
        </w:numPr>
        <w:rPr>
          <w:color w:val="FF0000"/>
        </w:rPr>
      </w:pPr>
      <w:r w:rsidRPr="00413465">
        <w:rPr>
          <w:b/>
          <w:color w:val="FF0000"/>
        </w:rPr>
        <w:t xml:space="preserve">Understanding </w:t>
      </w:r>
      <w:r w:rsidRPr="00413465">
        <w:rPr>
          <w:color w:val="FF0000"/>
        </w:rPr>
        <w:t xml:space="preserve">includes </w:t>
      </w:r>
      <w:r w:rsidR="00602820" w:rsidRPr="00413465">
        <w:rPr>
          <w:color w:val="FF0000"/>
        </w:rPr>
        <w:t>describing the relationship between graphs and equations, simplifying a range of algebraic expressions, explaining the function of relative frequencies and probabilities, calculating areas of shapes and surface areas of prisms and the constancy of the trigonometric ratios for right-angle triangles</w:t>
      </w:r>
    </w:p>
    <w:p w:rsidR="003E5BA0" w:rsidRPr="00413465" w:rsidRDefault="00FD40CF" w:rsidP="00FD40CF">
      <w:pPr>
        <w:pStyle w:val="ListParagraph"/>
        <w:numPr>
          <w:ilvl w:val="0"/>
          <w:numId w:val="1"/>
        </w:numPr>
        <w:rPr>
          <w:color w:val="FF0000"/>
        </w:rPr>
      </w:pPr>
      <w:r w:rsidRPr="00413465">
        <w:rPr>
          <w:b/>
          <w:color w:val="FF0000"/>
        </w:rPr>
        <w:t>Fluency</w:t>
      </w:r>
      <w:r w:rsidRPr="00413465">
        <w:rPr>
          <w:color w:val="FF0000"/>
        </w:rPr>
        <w:t xml:space="preserve"> inclu</w:t>
      </w:r>
      <w:r w:rsidR="00602820" w:rsidRPr="00413465">
        <w:rPr>
          <w:color w:val="FF0000"/>
        </w:rPr>
        <w:t>des applying the index laws to expressions with integer indices, expressing numbers in scientific notation, listing outcomes for experiments and developing familiarity with calculations involving the Cartesian plane</w:t>
      </w:r>
    </w:p>
    <w:p w:rsidR="003E5BA0" w:rsidRPr="00413465" w:rsidRDefault="00FD40CF" w:rsidP="003E5BA0">
      <w:pPr>
        <w:pStyle w:val="ListParagraph"/>
        <w:numPr>
          <w:ilvl w:val="0"/>
          <w:numId w:val="1"/>
        </w:numPr>
        <w:rPr>
          <w:color w:val="FF0000"/>
        </w:rPr>
      </w:pPr>
      <w:r w:rsidRPr="00413465">
        <w:rPr>
          <w:b/>
          <w:color w:val="FF0000"/>
        </w:rPr>
        <w:t>Problem Solving</w:t>
      </w:r>
      <w:r w:rsidRPr="00413465">
        <w:rPr>
          <w:color w:val="FF0000"/>
        </w:rPr>
        <w:t xml:space="preserve"> inclu</w:t>
      </w:r>
      <w:r w:rsidR="00602820" w:rsidRPr="00413465">
        <w:rPr>
          <w:color w:val="FF0000"/>
        </w:rPr>
        <w:t>des calculating surface areas and volumes of right prisms, applying ratio and scale factors to similar figures, solving problems involving right-angle trigonometry, and collecting data from secondary sources to investigate and issue</w:t>
      </w:r>
    </w:p>
    <w:p w:rsidR="00C35BA5" w:rsidRPr="00413465" w:rsidRDefault="00C35BA5" w:rsidP="00C35BA5">
      <w:pPr>
        <w:pStyle w:val="ListParagraph"/>
        <w:numPr>
          <w:ilvl w:val="0"/>
          <w:numId w:val="1"/>
        </w:numPr>
        <w:rPr>
          <w:color w:val="FF0000"/>
        </w:rPr>
      </w:pPr>
      <w:r w:rsidRPr="00413465">
        <w:rPr>
          <w:b/>
          <w:color w:val="FF0000"/>
        </w:rPr>
        <w:t xml:space="preserve">Reasoning </w:t>
      </w:r>
      <w:r w:rsidRPr="00413465">
        <w:rPr>
          <w:color w:val="FF0000"/>
        </w:rPr>
        <w:t xml:space="preserve">includes </w:t>
      </w:r>
      <w:r w:rsidR="00602820" w:rsidRPr="00413465">
        <w:rPr>
          <w:color w:val="FF0000"/>
        </w:rPr>
        <w:t>following mathematical arguments, evaluating media reports and using statistical knowledge to draw conclusions, developing strategies in investigating similarity and sketching linear graphs</w:t>
      </w:r>
    </w:p>
    <w:p w:rsidR="00C40806" w:rsidRPr="006767A0" w:rsidRDefault="00C40806" w:rsidP="006767A0">
      <w:pPr>
        <w:rPr>
          <w:color w:val="FF0000"/>
          <w:sz w:val="28"/>
          <w:szCs w:val="28"/>
        </w:rPr>
      </w:pPr>
    </w:p>
    <w:p w:rsidR="00C35BA5" w:rsidRPr="006767A0" w:rsidRDefault="00D70BE3" w:rsidP="006767A0">
      <w:pPr>
        <w:jc w:val="center"/>
      </w:pPr>
      <w:r w:rsidRPr="004E214D">
        <w:t xml:space="preserve">*This document intends to assist </w:t>
      </w:r>
      <w:r w:rsidR="003902C6" w:rsidRPr="004E214D">
        <w:t>teachers in their understanding</w:t>
      </w:r>
      <w:r w:rsidRPr="004E214D">
        <w:t xml:space="preserve"> of the Australian curricu</w:t>
      </w:r>
      <w:r w:rsidR="0078213C" w:rsidRPr="004E214D">
        <w:t>lum</w:t>
      </w:r>
      <w:r w:rsidR="006767A0">
        <w:t xml:space="preserve"> through </w:t>
      </w:r>
      <w:proofErr w:type="spellStart"/>
      <w:r w:rsidR="006767A0">
        <w:t>AusVELS</w:t>
      </w:r>
      <w:proofErr w:type="spellEnd"/>
      <w:r w:rsidR="006767A0">
        <w:t xml:space="preserve"> –</w:t>
      </w:r>
      <w:r w:rsidRPr="004E214D">
        <w:t xml:space="preserve"> it combines description and </w:t>
      </w:r>
      <w:r w:rsidRPr="006767A0">
        <w:rPr>
          <w:color w:val="0000FF"/>
        </w:rPr>
        <w:t xml:space="preserve">elaboration </w:t>
      </w:r>
      <w:r w:rsidRPr="004E214D">
        <w:t>statements. Teachers are advised to consult the online documentation to clarify furt</w:t>
      </w:r>
      <w:r w:rsidR="006767A0">
        <w:t xml:space="preserve">her detail for </w:t>
      </w:r>
      <w:proofErr w:type="gramStart"/>
      <w:r w:rsidR="006767A0">
        <w:t>themselves</w:t>
      </w:r>
      <w:proofErr w:type="gramEnd"/>
      <w:r w:rsidR="006767A0">
        <w:t>. ‘</w:t>
      </w:r>
      <w:proofErr w:type="spellStart"/>
      <w:r w:rsidR="006767A0">
        <w:t>AusVELS</w:t>
      </w:r>
      <w:proofErr w:type="spellEnd"/>
      <w:r w:rsidR="006767A0">
        <w:t>’ is</w:t>
      </w:r>
      <w:r w:rsidRPr="004E214D">
        <w:t xml:space="preserve"> the official documentation for Victorian school</w:t>
      </w:r>
      <w:r w:rsidR="006B40D5" w:rsidRPr="004E214D">
        <w:t>s.</w:t>
      </w:r>
    </w:p>
    <w:p w:rsidR="00C40806" w:rsidRPr="00D70BE3" w:rsidRDefault="00C40806" w:rsidP="00D70BE3">
      <w:pPr>
        <w:jc w:val="center"/>
        <w:rPr>
          <w:sz w:val="22"/>
          <w:szCs w:val="22"/>
        </w:rPr>
      </w:pPr>
    </w:p>
    <w:tbl>
      <w:tblPr>
        <w:tblStyle w:val="TableGrid"/>
        <w:tblW w:w="21060" w:type="dxa"/>
        <w:tblInd w:w="468" w:type="dxa"/>
        <w:tblLook w:val="04A0" w:firstRow="1" w:lastRow="0" w:firstColumn="1" w:lastColumn="0" w:noHBand="0" w:noVBand="1"/>
      </w:tblPr>
      <w:tblGrid>
        <w:gridCol w:w="7020"/>
        <w:gridCol w:w="7200"/>
        <w:gridCol w:w="6840"/>
      </w:tblGrid>
      <w:tr w:rsidR="00EC5143" w:rsidTr="00EC5143">
        <w:tc>
          <w:tcPr>
            <w:tcW w:w="7020" w:type="dxa"/>
            <w:shd w:val="clear" w:color="auto" w:fill="E0FFEC"/>
          </w:tcPr>
          <w:p w:rsidR="00A45E99" w:rsidRPr="004E214D" w:rsidRDefault="00461BBE" w:rsidP="00A45E99">
            <w:pPr>
              <w:rPr>
                <w:b/>
                <w:sz w:val="36"/>
                <w:szCs w:val="36"/>
              </w:rPr>
            </w:pPr>
            <w:r w:rsidRPr="004E214D">
              <w:rPr>
                <w:b/>
                <w:sz w:val="36"/>
                <w:szCs w:val="36"/>
              </w:rPr>
              <w:t>Number &amp; Algebra</w:t>
            </w:r>
            <w:r w:rsidR="00A45E99" w:rsidRPr="004E214D">
              <w:rPr>
                <w:b/>
                <w:sz w:val="36"/>
                <w:szCs w:val="36"/>
              </w:rPr>
              <w:t>:</w:t>
            </w:r>
          </w:p>
        </w:tc>
        <w:tc>
          <w:tcPr>
            <w:tcW w:w="7200" w:type="dxa"/>
            <w:shd w:val="clear" w:color="auto" w:fill="CCFFFF"/>
          </w:tcPr>
          <w:p w:rsidR="00A45E99" w:rsidRPr="004E214D" w:rsidRDefault="00FD1908" w:rsidP="00A45E99">
            <w:pPr>
              <w:rPr>
                <w:b/>
                <w:sz w:val="36"/>
                <w:szCs w:val="36"/>
              </w:rPr>
            </w:pPr>
            <w:r w:rsidRPr="004E214D">
              <w:rPr>
                <w:b/>
                <w:sz w:val="36"/>
                <w:szCs w:val="36"/>
              </w:rPr>
              <w:t>Measurement &amp; Geometry</w:t>
            </w:r>
            <w:r w:rsidR="00DD4C34" w:rsidRPr="004E214D">
              <w:rPr>
                <w:b/>
                <w:sz w:val="36"/>
                <w:szCs w:val="36"/>
              </w:rPr>
              <w:t>:</w:t>
            </w:r>
          </w:p>
        </w:tc>
        <w:tc>
          <w:tcPr>
            <w:tcW w:w="6840" w:type="dxa"/>
            <w:shd w:val="clear" w:color="auto" w:fill="E3D8FF"/>
          </w:tcPr>
          <w:p w:rsidR="00A45E99" w:rsidRPr="004E214D" w:rsidRDefault="004A3C97" w:rsidP="00A45E99">
            <w:pPr>
              <w:rPr>
                <w:b/>
                <w:sz w:val="36"/>
                <w:szCs w:val="36"/>
              </w:rPr>
            </w:pPr>
            <w:r w:rsidRPr="004E214D">
              <w:rPr>
                <w:b/>
                <w:sz w:val="36"/>
                <w:szCs w:val="36"/>
              </w:rPr>
              <w:t>Statistics &amp; Probability</w:t>
            </w:r>
            <w:r w:rsidR="00572232" w:rsidRPr="004E214D">
              <w:rPr>
                <w:b/>
                <w:sz w:val="36"/>
                <w:szCs w:val="36"/>
              </w:rPr>
              <w:t>:</w:t>
            </w:r>
          </w:p>
        </w:tc>
      </w:tr>
      <w:tr w:rsidR="00EC5143" w:rsidTr="00EC5143">
        <w:tc>
          <w:tcPr>
            <w:tcW w:w="7020" w:type="dxa"/>
            <w:tcBorders>
              <w:bottom w:val="single" w:sz="4" w:space="0" w:color="auto"/>
            </w:tcBorders>
            <w:shd w:val="clear" w:color="auto" w:fill="E0FFEC"/>
          </w:tcPr>
          <w:p w:rsidR="008F7682" w:rsidRDefault="00847807" w:rsidP="008B68F8">
            <w:pPr>
              <w:rPr>
                <w:b/>
                <w:sz w:val="32"/>
                <w:szCs w:val="32"/>
              </w:rPr>
            </w:pPr>
            <w:r w:rsidRPr="004E214D">
              <w:rPr>
                <w:b/>
                <w:sz w:val="32"/>
                <w:szCs w:val="32"/>
              </w:rPr>
              <w:t>Real numbers</w:t>
            </w:r>
            <w:r w:rsidR="008F7682" w:rsidRPr="004E214D">
              <w:rPr>
                <w:b/>
                <w:sz w:val="32"/>
                <w:szCs w:val="32"/>
              </w:rPr>
              <w:t>:</w:t>
            </w:r>
          </w:p>
          <w:p w:rsidR="00366D3B" w:rsidRDefault="00366D3B" w:rsidP="008B68F8">
            <w:pPr>
              <w:rPr>
                <w:rFonts w:ascii="Helvetica" w:hAnsi="Helvetica" w:cs="Helvetica"/>
                <w:color w:val="000000"/>
                <w:sz w:val="18"/>
                <w:szCs w:val="18"/>
              </w:rPr>
            </w:pPr>
            <w:r>
              <w:rPr>
                <w:rFonts w:ascii="Helvetica" w:hAnsi="Helvetica" w:cs="Helvetica"/>
                <w:color w:val="000000"/>
                <w:sz w:val="18"/>
                <w:szCs w:val="18"/>
              </w:rPr>
              <w:t>Solve problems involving direct proportion. Explore the relationship between graphs and equations corresponding to simple rate problems (ACMNA208)</w:t>
            </w:r>
          </w:p>
          <w:p w:rsidR="00366D3B" w:rsidRPr="00D91FAE" w:rsidRDefault="00366D3B" w:rsidP="00366D3B">
            <w:pPr>
              <w:pStyle w:val="ListParagraph"/>
              <w:numPr>
                <w:ilvl w:val="0"/>
                <w:numId w:val="14"/>
              </w:numPr>
              <w:rPr>
                <w:rFonts w:ascii="Helvetica" w:hAnsi="Helvetica" w:cs="Helvetica"/>
                <w:color w:val="0000FF"/>
                <w:sz w:val="18"/>
                <w:szCs w:val="18"/>
              </w:rPr>
            </w:pPr>
            <w:r w:rsidRPr="00D91FAE">
              <w:rPr>
                <w:rFonts w:ascii="Helvetica" w:hAnsi="Helvetica" w:cs="Helvetica"/>
                <w:color w:val="0000FF"/>
                <w:sz w:val="18"/>
                <w:szCs w:val="18"/>
              </w:rPr>
              <w:t xml:space="preserve">understanding the difference between direct and inverse proportion, identifying these in </w:t>
            </w:r>
            <w:proofErr w:type="spellStart"/>
            <w:r w:rsidRPr="00D91FAE">
              <w:rPr>
                <w:rFonts w:ascii="Helvetica" w:hAnsi="Helvetica" w:cs="Helvetica"/>
                <w:color w:val="0000FF"/>
                <w:sz w:val="18"/>
                <w:szCs w:val="18"/>
              </w:rPr>
              <w:t>real­life</w:t>
            </w:r>
            <w:proofErr w:type="spellEnd"/>
            <w:r w:rsidRPr="00D91FAE">
              <w:rPr>
                <w:rFonts w:ascii="Helvetica" w:hAnsi="Helvetica" w:cs="Helvetica"/>
                <w:color w:val="0000FF"/>
                <w:sz w:val="18"/>
                <w:szCs w:val="18"/>
              </w:rPr>
              <w:t xml:space="preserve"> contexts and using these relationships to solve problems</w:t>
            </w:r>
          </w:p>
          <w:p w:rsidR="00366D3B" w:rsidRDefault="00366D3B" w:rsidP="008B68F8">
            <w:pPr>
              <w:rPr>
                <w:rFonts w:ascii="Helvetica" w:hAnsi="Helvetica" w:cs="Helvetica"/>
                <w:color w:val="000000"/>
                <w:sz w:val="18"/>
                <w:szCs w:val="18"/>
              </w:rPr>
            </w:pPr>
            <w:r>
              <w:rPr>
                <w:rFonts w:ascii="Helvetica" w:hAnsi="Helvetica" w:cs="Helvetica"/>
                <w:color w:val="000000"/>
                <w:sz w:val="18"/>
                <w:szCs w:val="18"/>
              </w:rPr>
              <w:t>Apply index laws to numerical expressions with integer indices (ACMNA209)</w:t>
            </w:r>
          </w:p>
          <w:p w:rsidR="00366D3B" w:rsidRPr="00D91FAE" w:rsidRDefault="00366D3B" w:rsidP="00366D3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91FAE">
              <w:rPr>
                <w:rFonts w:ascii="Helvetica" w:hAnsi="Helvetica" w:cs="Helvetica"/>
                <w:color w:val="0000FF"/>
                <w:sz w:val="18"/>
                <w:szCs w:val="18"/>
              </w:rPr>
              <w:t>connecting different strategies for simplifying expressions with indices to illustrate the meaning of negative indices</w:t>
            </w:r>
          </w:p>
          <w:p w:rsidR="00366D3B" w:rsidRPr="00D91FAE" w:rsidRDefault="00366D3B" w:rsidP="00366D3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91FAE">
              <w:rPr>
                <w:rFonts w:ascii="Helvetica" w:hAnsi="Helvetica" w:cs="Helvetica"/>
                <w:color w:val="0000FF"/>
                <w:sz w:val="18"/>
                <w:szCs w:val="18"/>
              </w:rPr>
              <w:t>moving fluently between representations of numeric and algebraic terms with negative indices, and applying understanding of negative indices to calculations</w:t>
            </w:r>
          </w:p>
          <w:p w:rsidR="00366D3B" w:rsidRPr="00D91FAE" w:rsidRDefault="00366D3B" w:rsidP="00366D3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91FAE">
              <w:rPr>
                <w:rFonts w:ascii="Helvetica" w:hAnsi="Helvetica" w:cs="Helvetica"/>
                <w:color w:val="0000FF"/>
                <w:sz w:val="18"/>
                <w:szCs w:val="18"/>
              </w:rPr>
              <w:t>applying knowledge of index laws to algebraic terms and simplifying algebraic expressions, using both positive and negative integral indices</w:t>
            </w:r>
          </w:p>
          <w:p w:rsidR="00366D3B" w:rsidRDefault="00366D3B" w:rsidP="00366D3B">
            <w:pPr>
              <w:rPr>
                <w:rFonts w:ascii="Helvetica" w:hAnsi="Helvetica" w:cs="Helvetica"/>
                <w:color w:val="000000"/>
                <w:sz w:val="18"/>
                <w:szCs w:val="18"/>
              </w:rPr>
            </w:pPr>
            <w:r>
              <w:rPr>
                <w:rFonts w:ascii="Helvetica" w:hAnsi="Helvetica" w:cs="Helvetica"/>
                <w:color w:val="000000"/>
                <w:sz w:val="18"/>
                <w:szCs w:val="18"/>
              </w:rPr>
              <w:t>Express numbers in scientific notation (ACMNA210)</w:t>
            </w:r>
          </w:p>
          <w:p w:rsidR="00366D3B" w:rsidRPr="00D91FAE" w:rsidRDefault="00366D3B" w:rsidP="008B68F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91FAE">
              <w:rPr>
                <w:rFonts w:ascii="Helvetica" w:hAnsi="Helvetica" w:cs="Helvetica"/>
                <w:color w:val="0000FF"/>
                <w:sz w:val="18"/>
                <w:szCs w:val="18"/>
              </w:rPr>
              <w:t>understanding that the use of index notation is an efficient way of representing numbers and symbols and has many applications, particularly in science</w:t>
            </w:r>
          </w:p>
          <w:p w:rsidR="00366D3B" w:rsidRPr="00D91FAE" w:rsidRDefault="00366D3B" w:rsidP="008B68F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91FAE">
              <w:rPr>
                <w:rFonts w:ascii="Helvetica" w:hAnsi="Helvetica" w:cs="Helvetica"/>
                <w:color w:val="0000FF"/>
                <w:sz w:val="18"/>
                <w:szCs w:val="18"/>
              </w:rPr>
              <w:t>representing extremely large and small numbers in scientific notation, and numbers expressed in scientific notation as whole numbers or decimals</w:t>
            </w:r>
          </w:p>
          <w:p w:rsidR="008F7682" w:rsidRPr="004E214D" w:rsidRDefault="00DA11AA" w:rsidP="008F7682">
            <w:pPr>
              <w:rPr>
                <w:b/>
                <w:sz w:val="32"/>
                <w:szCs w:val="32"/>
              </w:rPr>
            </w:pPr>
            <w:r w:rsidRPr="004E214D">
              <w:rPr>
                <w:b/>
                <w:sz w:val="32"/>
                <w:szCs w:val="32"/>
              </w:rPr>
              <w:t>Money &amp; Financial</w:t>
            </w:r>
            <w:r w:rsidR="00B914F4" w:rsidRPr="004E214D">
              <w:rPr>
                <w:b/>
                <w:sz w:val="32"/>
                <w:szCs w:val="32"/>
              </w:rPr>
              <w:t xml:space="preserve"> </w:t>
            </w:r>
            <w:proofErr w:type="spellStart"/>
            <w:r w:rsidR="00B914F4" w:rsidRPr="004E214D">
              <w:rPr>
                <w:b/>
                <w:sz w:val="32"/>
                <w:szCs w:val="32"/>
              </w:rPr>
              <w:t>maths</w:t>
            </w:r>
            <w:proofErr w:type="spellEnd"/>
            <w:r w:rsidR="008F7682" w:rsidRPr="004E214D">
              <w:rPr>
                <w:b/>
                <w:sz w:val="32"/>
                <w:szCs w:val="32"/>
              </w:rPr>
              <w:t>:</w:t>
            </w:r>
          </w:p>
          <w:p w:rsidR="004E214D" w:rsidRDefault="00F53E2F" w:rsidP="00F53E2F">
            <w:pPr>
              <w:rPr>
                <w:rFonts w:ascii="Helvetica" w:hAnsi="Helvetica" w:cs="Helvetica"/>
                <w:color w:val="000000"/>
                <w:sz w:val="18"/>
                <w:szCs w:val="18"/>
              </w:rPr>
            </w:pPr>
            <w:r>
              <w:rPr>
                <w:rFonts w:ascii="Helvetica" w:hAnsi="Helvetica" w:cs="Helvetica"/>
                <w:color w:val="000000"/>
                <w:sz w:val="18"/>
                <w:szCs w:val="18"/>
              </w:rPr>
              <w:t>Solve problems involving simple interest (ACMNA211)</w:t>
            </w:r>
          </w:p>
          <w:p w:rsidR="00F53E2F" w:rsidRPr="00D91FAE" w:rsidRDefault="00F53E2F" w:rsidP="00F53E2F">
            <w:pPr>
              <w:pStyle w:val="ListParagraph"/>
              <w:numPr>
                <w:ilvl w:val="0"/>
                <w:numId w:val="16"/>
              </w:numPr>
              <w:rPr>
                <w:color w:val="0000FF"/>
                <w:sz w:val="22"/>
                <w:szCs w:val="22"/>
              </w:rPr>
            </w:pPr>
            <w:r w:rsidRPr="00D91FAE">
              <w:rPr>
                <w:rFonts w:ascii="Helvetica" w:hAnsi="Helvetica" w:cs="Helvetica"/>
                <w:color w:val="0000FF"/>
                <w:sz w:val="18"/>
                <w:szCs w:val="18"/>
              </w:rPr>
              <w:t>understanding that financial decisions can be assisted by mathematical calculations</w:t>
            </w:r>
          </w:p>
          <w:p w:rsidR="006948CB" w:rsidRDefault="00B914F4" w:rsidP="006948CB">
            <w:pPr>
              <w:rPr>
                <w:b/>
                <w:sz w:val="32"/>
                <w:szCs w:val="32"/>
              </w:rPr>
            </w:pPr>
            <w:r w:rsidRPr="004E214D">
              <w:rPr>
                <w:b/>
                <w:sz w:val="32"/>
                <w:szCs w:val="32"/>
              </w:rPr>
              <w:t>Patterns &amp; algebra</w:t>
            </w:r>
            <w:r w:rsidR="006948CB" w:rsidRPr="004E214D">
              <w:rPr>
                <w:b/>
                <w:sz w:val="32"/>
                <w:szCs w:val="32"/>
              </w:rPr>
              <w:t>:</w:t>
            </w:r>
          </w:p>
          <w:p w:rsidR="002F2BEF" w:rsidRDefault="002F2BEF" w:rsidP="006948CB">
            <w:pPr>
              <w:rPr>
                <w:rFonts w:ascii="Helvetica" w:hAnsi="Helvetica" w:cs="Helvetica"/>
                <w:color w:val="000000"/>
                <w:sz w:val="18"/>
                <w:szCs w:val="18"/>
              </w:rPr>
            </w:pPr>
            <w:r>
              <w:rPr>
                <w:rFonts w:ascii="Helvetica" w:hAnsi="Helvetica" w:cs="Helvetica"/>
                <w:color w:val="000000"/>
                <w:sz w:val="18"/>
                <w:szCs w:val="18"/>
              </w:rPr>
              <w:t>Extend and apply the index laws to variables, using positive integral indices and the zero index (ACMNA212)</w:t>
            </w:r>
          </w:p>
          <w:p w:rsidR="002F2BEF" w:rsidRPr="00D91FAE" w:rsidRDefault="002F2BEF" w:rsidP="002F2BEF">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91FAE">
              <w:rPr>
                <w:rFonts w:ascii="Helvetica" w:hAnsi="Helvetica" w:cs="Helvetica"/>
                <w:color w:val="0000FF"/>
                <w:sz w:val="18"/>
                <w:szCs w:val="18"/>
              </w:rPr>
              <w:t>understanding that index laws apply to variables as well as numbers</w:t>
            </w:r>
          </w:p>
          <w:p w:rsidR="002F2BEF" w:rsidRPr="00D91FAE" w:rsidRDefault="002F2BEF" w:rsidP="002F2BEF">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91FAE">
              <w:rPr>
                <w:rFonts w:ascii="Helvetica" w:hAnsi="Helvetica" w:cs="Helvetica"/>
                <w:color w:val="0000FF"/>
                <w:sz w:val="18"/>
                <w:szCs w:val="18"/>
              </w:rPr>
              <w:t>evaluating numbers expressed as powers of positive integers</w:t>
            </w:r>
          </w:p>
          <w:p w:rsidR="002F2BEF" w:rsidRDefault="002F2BEF" w:rsidP="002F2BEF">
            <w:pPr>
              <w:rPr>
                <w:rFonts w:ascii="Helvetica" w:hAnsi="Helvetica" w:cs="Helvetica"/>
                <w:color w:val="000000"/>
                <w:sz w:val="18"/>
                <w:szCs w:val="18"/>
              </w:rPr>
            </w:pPr>
            <w:r>
              <w:rPr>
                <w:rFonts w:ascii="Helvetica" w:hAnsi="Helvetica" w:cs="Helvetica"/>
                <w:color w:val="000000"/>
                <w:sz w:val="18"/>
                <w:szCs w:val="18"/>
              </w:rPr>
              <w:t>Apply the distributive law to the expansion of algebraic expressions, including binomials, and collect like terms where appropriate (ACMNA213)</w:t>
            </w:r>
          </w:p>
          <w:p w:rsidR="002F2BEF" w:rsidRPr="00D91FAE" w:rsidRDefault="002F2BEF" w:rsidP="002F2BEF">
            <w:pPr>
              <w:pStyle w:val="ListParagraph"/>
              <w:numPr>
                <w:ilvl w:val="0"/>
                <w:numId w:val="17"/>
              </w:numPr>
              <w:rPr>
                <w:b/>
                <w:color w:val="0000FF"/>
                <w:sz w:val="32"/>
                <w:szCs w:val="32"/>
              </w:rPr>
            </w:pPr>
            <w:r w:rsidRPr="00D91FAE">
              <w:rPr>
                <w:rFonts w:ascii="Helvetica" w:hAnsi="Helvetica" w:cs="Helvetica"/>
                <w:color w:val="0000FF"/>
                <w:sz w:val="18"/>
                <w:szCs w:val="18"/>
              </w:rPr>
              <w:t xml:space="preserve">understanding that the distributive law can be applied to algebraic expressions as well as numbers, and understanding the inverse relationship between expansion and </w:t>
            </w:r>
            <w:proofErr w:type="spellStart"/>
            <w:r w:rsidRPr="00D91FAE">
              <w:rPr>
                <w:rFonts w:ascii="Helvetica" w:hAnsi="Helvetica" w:cs="Helvetica"/>
                <w:color w:val="0000FF"/>
                <w:sz w:val="18"/>
                <w:szCs w:val="18"/>
              </w:rPr>
              <w:t>factorisation</w:t>
            </w:r>
            <w:proofErr w:type="spellEnd"/>
          </w:p>
          <w:p w:rsidR="00B914F4" w:rsidRPr="004E214D" w:rsidRDefault="00B914F4" w:rsidP="00B914F4">
            <w:pPr>
              <w:rPr>
                <w:b/>
                <w:sz w:val="32"/>
                <w:szCs w:val="32"/>
              </w:rPr>
            </w:pPr>
            <w:r w:rsidRPr="004E214D">
              <w:rPr>
                <w:b/>
                <w:sz w:val="32"/>
                <w:szCs w:val="32"/>
              </w:rPr>
              <w:t>Linear &amp; non-linear relationships:</w:t>
            </w:r>
          </w:p>
          <w:p w:rsidR="00A41A3D" w:rsidRDefault="00715CAB" w:rsidP="00715CAB">
            <w:pPr>
              <w:rPr>
                <w:rFonts w:ascii="Helvetica" w:hAnsi="Helvetica" w:cs="Helvetica"/>
                <w:color w:val="000000"/>
                <w:sz w:val="18"/>
                <w:szCs w:val="18"/>
              </w:rPr>
            </w:pPr>
            <w:r>
              <w:rPr>
                <w:rFonts w:ascii="Helvetica" w:hAnsi="Helvetica" w:cs="Helvetica"/>
                <w:color w:val="000000"/>
                <w:sz w:val="18"/>
                <w:szCs w:val="18"/>
              </w:rPr>
              <w:t>Find the distance between two points located on a Cartesian plane using a range of strategies, including graphing software (ACMNA214)</w:t>
            </w:r>
          </w:p>
          <w:p w:rsidR="00715CAB" w:rsidRPr="00D91FAE" w:rsidRDefault="00715CAB" w:rsidP="00715CAB">
            <w:pPr>
              <w:pStyle w:val="ListParagraph"/>
              <w:numPr>
                <w:ilvl w:val="0"/>
                <w:numId w:val="17"/>
              </w:numPr>
              <w:rPr>
                <w:rFonts w:ascii="Helvetica" w:hAnsi="Helvetica" w:cs="Helvetica"/>
                <w:color w:val="0000FF"/>
                <w:sz w:val="18"/>
                <w:szCs w:val="18"/>
              </w:rPr>
            </w:pPr>
            <w:r w:rsidRPr="00D91FAE">
              <w:rPr>
                <w:rFonts w:ascii="Helvetica" w:hAnsi="Helvetica" w:cs="Helvetica"/>
                <w:color w:val="0000FF"/>
                <w:sz w:val="18"/>
                <w:szCs w:val="18"/>
              </w:rPr>
              <w:t>investigating graphical and algebraic techniques for finding distance</w:t>
            </w:r>
          </w:p>
          <w:p w:rsidR="00715CAB" w:rsidRDefault="00715CAB" w:rsidP="00715CAB">
            <w:pPr>
              <w:rPr>
                <w:rFonts w:ascii="Helvetica" w:hAnsi="Helvetica" w:cs="Helvetica"/>
                <w:color w:val="000000"/>
                <w:sz w:val="18"/>
                <w:szCs w:val="18"/>
              </w:rPr>
            </w:pPr>
            <w:r>
              <w:rPr>
                <w:rFonts w:ascii="Helvetica" w:hAnsi="Helvetica" w:cs="Helvetica"/>
                <w:color w:val="000000"/>
                <w:sz w:val="18"/>
                <w:szCs w:val="18"/>
              </w:rPr>
              <w:t>Find the midpoint and gradient of a line segment (interval) on the Cartesian plane using a range of strategies, including graphing software (ACMNA294)</w:t>
            </w:r>
          </w:p>
          <w:p w:rsidR="00715CAB" w:rsidRPr="00D91FAE" w:rsidRDefault="00715CAB" w:rsidP="00715CAB">
            <w:pPr>
              <w:pStyle w:val="ListParagraph"/>
              <w:numPr>
                <w:ilvl w:val="0"/>
                <w:numId w:val="17"/>
              </w:numPr>
              <w:rPr>
                <w:rFonts w:ascii="Helvetica" w:hAnsi="Helvetica" w:cs="Helvetica"/>
                <w:color w:val="0000FF"/>
                <w:sz w:val="18"/>
                <w:szCs w:val="18"/>
              </w:rPr>
            </w:pPr>
            <w:r w:rsidRPr="00D91FAE">
              <w:rPr>
                <w:rFonts w:ascii="Helvetica" w:hAnsi="Helvetica" w:cs="Helvetica"/>
                <w:color w:val="0000FF"/>
                <w:sz w:val="18"/>
                <w:szCs w:val="18"/>
              </w:rPr>
              <w:lastRenderedPageBreak/>
              <w:t>investigating graphical and algebraic techniques for finding midpoint and gradient</w:t>
            </w:r>
          </w:p>
          <w:p w:rsidR="00715CAB" w:rsidRDefault="00715CAB" w:rsidP="00715CAB">
            <w:pPr>
              <w:rPr>
                <w:rFonts w:ascii="Helvetica" w:hAnsi="Helvetica" w:cs="Helvetica"/>
                <w:color w:val="000000"/>
                <w:sz w:val="18"/>
                <w:szCs w:val="18"/>
              </w:rPr>
            </w:pPr>
            <w:r>
              <w:rPr>
                <w:rFonts w:ascii="Helvetica" w:hAnsi="Helvetica" w:cs="Helvetica"/>
                <w:color w:val="000000"/>
                <w:sz w:val="18"/>
                <w:szCs w:val="18"/>
              </w:rPr>
              <w:t>Sketch linear graphs using the coordinates of two points (ACMNA215)</w:t>
            </w:r>
          </w:p>
          <w:p w:rsidR="00715CAB" w:rsidRPr="00D91FAE" w:rsidRDefault="00715CAB" w:rsidP="00715CAB">
            <w:pPr>
              <w:pStyle w:val="ListParagraph"/>
              <w:numPr>
                <w:ilvl w:val="0"/>
                <w:numId w:val="17"/>
              </w:numPr>
              <w:rPr>
                <w:rFonts w:ascii="Helvetica" w:hAnsi="Helvetica" w:cs="Helvetica"/>
                <w:color w:val="0000FF"/>
                <w:sz w:val="18"/>
                <w:szCs w:val="18"/>
              </w:rPr>
            </w:pPr>
            <w:r w:rsidRPr="00D91FAE">
              <w:rPr>
                <w:rFonts w:ascii="Helvetica" w:hAnsi="Helvetica" w:cs="Helvetica"/>
                <w:color w:val="0000FF"/>
                <w:sz w:val="18"/>
                <w:szCs w:val="18"/>
              </w:rPr>
              <w:t>determining linear rules from suitable diagrams, tables of values and graphs and describing them both using words and algebra</w:t>
            </w:r>
          </w:p>
          <w:p w:rsidR="00715CAB" w:rsidRDefault="00715CAB" w:rsidP="00715CAB">
            <w:pPr>
              <w:rPr>
                <w:rFonts w:ascii="Helvetica" w:hAnsi="Helvetica" w:cs="Helvetica"/>
                <w:color w:val="000000"/>
                <w:sz w:val="18"/>
                <w:szCs w:val="18"/>
              </w:rPr>
            </w:pPr>
            <w:r>
              <w:rPr>
                <w:rFonts w:ascii="Helvetica" w:hAnsi="Helvetica" w:cs="Helvetica"/>
                <w:color w:val="000000"/>
                <w:sz w:val="18"/>
                <w:szCs w:val="18"/>
              </w:rPr>
              <w:t>Sketch simple non­linear relations with and without the use of digital technologies (ACMNA296)</w:t>
            </w:r>
          </w:p>
          <w:p w:rsidR="00715CAB" w:rsidRPr="00D91FAE" w:rsidRDefault="00715CAB" w:rsidP="00715CAB">
            <w:pPr>
              <w:pStyle w:val="ListParagraph"/>
              <w:numPr>
                <w:ilvl w:val="0"/>
                <w:numId w:val="17"/>
              </w:numPr>
              <w:rPr>
                <w:color w:val="0000FF"/>
              </w:rPr>
            </w:pPr>
            <w:r w:rsidRPr="00D91FAE">
              <w:rPr>
                <w:rFonts w:ascii="Helvetica" w:hAnsi="Helvetica" w:cs="Helvetica"/>
                <w:color w:val="0000FF"/>
                <w:sz w:val="18"/>
                <w:szCs w:val="18"/>
              </w:rPr>
              <w:t>sketching parabolas, hyperbolas, circles</w:t>
            </w:r>
          </w:p>
        </w:tc>
        <w:tc>
          <w:tcPr>
            <w:tcW w:w="7200" w:type="dxa"/>
            <w:tcBorders>
              <w:bottom w:val="single" w:sz="4" w:space="0" w:color="auto"/>
            </w:tcBorders>
            <w:shd w:val="clear" w:color="auto" w:fill="CCFFFF"/>
          </w:tcPr>
          <w:p w:rsidR="00A45E99" w:rsidRPr="004E214D" w:rsidRDefault="00EB388A" w:rsidP="00A45E99">
            <w:pPr>
              <w:rPr>
                <w:b/>
                <w:sz w:val="32"/>
                <w:szCs w:val="32"/>
              </w:rPr>
            </w:pPr>
            <w:r w:rsidRPr="004E214D">
              <w:rPr>
                <w:b/>
                <w:sz w:val="32"/>
                <w:szCs w:val="32"/>
              </w:rPr>
              <w:lastRenderedPageBreak/>
              <w:t>Using units of measurement</w:t>
            </w:r>
            <w:r w:rsidR="00DD4C34" w:rsidRPr="004E214D">
              <w:rPr>
                <w:b/>
                <w:sz w:val="32"/>
                <w:szCs w:val="32"/>
              </w:rPr>
              <w:t>:</w:t>
            </w:r>
          </w:p>
          <w:p w:rsidR="00C40806" w:rsidRDefault="00BD18E1" w:rsidP="00BD18E1">
            <w:pPr>
              <w:rPr>
                <w:rFonts w:ascii="Helvetica" w:hAnsi="Helvetica" w:cs="Helvetica"/>
                <w:color w:val="000000"/>
                <w:sz w:val="18"/>
                <w:szCs w:val="18"/>
              </w:rPr>
            </w:pPr>
            <w:r>
              <w:rPr>
                <w:rFonts w:ascii="Helvetica" w:hAnsi="Helvetica" w:cs="Helvetica"/>
                <w:color w:val="000000"/>
                <w:sz w:val="18"/>
                <w:szCs w:val="18"/>
              </w:rPr>
              <w:t>Calculate the areas of composite shapes (ACMMG216)</w:t>
            </w:r>
          </w:p>
          <w:p w:rsidR="00BD18E1" w:rsidRPr="00D91FAE" w:rsidRDefault="00BD18E1" w:rsidP="00E45F5C">
            <w:pPr>
              <w:pStyle w:val="ListParagraph"/>
              <w:numPr>
                <w:ilvl w:val="0"/>
                <w:numId w:val="17"/>
              </w:numPr>
              <w:rPr>
                <w:rFonts w:ascii="Helvetica" w:hAnsi="Helvetica" w:cs="Helvetica"/>
                <w:color w:val="0000FF"/>
                <w:sz w:val="18"/>
                <w:szCs w:val="18"/>
              </w:rPr>
            </w:pPr>
            <w:r w:rsidRPr="00D91FAE">
              <w:rPr>
                <w:rFonts w:ascii="Helvetica" w:hAnsi="Helvetica" w:cs="Helvetica"/>
                <w:color w:val="0000FF"/>
                <w:sz w:val="18"/>
                <w:szCs w:val="18"/>
              </w:rPr>
              <w:t>understanding that partitioning composite shapes into rectangles and triangles is a strategy for solving problems involving perimeter and area</w:t>
            </w:r>
          </w:p>
          <w:p w:rsidR="00BD18E1" w:rsidRDefault="00BD18E1" w:rsidP="00BD18E1">
            <w:pPr>
              <w:rPr>
                <w:rFonts w:ascii="Helvetica" w:hAnsi="Helvetica" w:cs="Helvetica"/>
                <w:color w:val="000000"/>
                <w:sz w:val="18"/>
                <w:szCs w:val="18"/>
              </w:rPr>
            </w:pPr>
            <w:r>
              <w:rPr>
                <w:rFonts w:ascii="Helvetica" w:hAnsi="Helvetica" w:cs="Helvetica"/>
                <w:color w:val="000000"/>
                <w:sz w:val="18"/>
                <w:szCs w:val="18"/>
              </w:rPr>
              <w:t>Calculate the surface area and volume of cylinders and solve related problems (ACMMG217)</w:t>
            </w:r>
          </w:p>
          <w:p w:rsidR="00BD18E1" w:rsidRPr="00D91FAE" w:rsidRDefault="00BD18E1" w:rsidP="00E45F5C">
            <w:pPr>
              <w:pStyle w:val="ListParagraph"/>
              <w:numPr>
                <w:ilvl w:val="0"/>
                <w:numId w:val="17"/>
              </w:numPr>
              <w:rPr>
                <w:rFonts w:ascii="Helvetica" w:hAnsi="Helvetica" w:cs="Helvetica"/>
                <w:color w:val="0000FF"/>
                <w:sz w:val="18"/>
                <w:szCs w:val="18"/>
              </w:rPr>
            </w:pPr>
            <w:proofErr w:type="spellStart"/>
            <w:r w:rsidRPr="00D91FAE">
              <w:rPr>
                <w:rFonts w:ascii="Helvetica" w:hAnsi="Helvetica" w:cs="Helvetica"/>
                <w:color w:val="0000FF"/>
                <w:sz w:val="18"/>
                <w:szCs w:val="18"/>
              </w:rPr>
              <w:t>analysing</w:t>
            </w:r>
            <w:proofErr w:type="spellEnd"/>
            <w:r w:rsidRPr="00D91FAE">
              <w:rPr>
                <w:rFonts w:ascii="Helvetica" w:hAnsi="Helvetica" w:cs="Helvetica"/>
                <w:color w:val="0000FF"/>
                <w:sz w:val="18"/>
                <w:szCs w:val="18"/>
              </w:rPr>
              <w:t xml:space="preserve"> nets of prisms and cylinders to establish formulas for surface area</w:t>
            </w:r>
          </w:p>
          <w:p w:rsidR="00BD18E1" w:rsidRDefault="00BD18E1" w:rsidP="00BD18E1">
            <w:pPr>
              <w:rPr>
                <w:rFonts w:ascii="Helvetica" w:hAnsi="Helvetica" w:cs="Helvetica"/>
                <w:color w:val="000000"/>
                <w:sz w:val="18"/>
                <w:szCs w:val="18"/>
              </w:rPr>
            </w:pPr>
            <w:r>
              <w:rPr>
                <w:rFonts w:ascii="Helvetica" w:hAnsi="Helvetica" w:cs="Helvetica"/>
                <w:color w:val="000000"/>
                <w:sz w:val="18"/>
                <w:szCs w:val="18"/>
              </w:rPr>
              <w:t>Solve problems involving the surface area and volume of right prisms (ACMMG218)</w:t>
            </w:r>
          </w:p>
          <w:p w:rsidR="00BD18E1" w:rsidRPr="00D91FAE" w:rsidRDefault="00A75136" w:rsidP="00E45F5C">
            <w:pPr>
              <w:pStyle w:val="ListParagraph"/>
              <w:numPr>
                <w:ilvl w:val="0"/>
                <w:numId w:val="17"/>
              </w:numPr>
              <w:rPr>
                <w:rFonts w:ascii="Helvetica" w:hAnsi="Helvetica" w:cs="Helvetica"/>
                <w:color w:val="0000FF"/>
                <w:sz w:val="18"/>
                <w:szCs w:val="18"/>
              </w:rPr>
            </w:pPr>
            <w:r w:rsidRPr="00D91FAE">
              <w:rPr>
                <w:rFonts w:ascii="Helvetica" w:hAnsi="Helvetica" w:cs="Helvetica"/>
                <w:color w:val="0000FF"/>
                <w:sz w:val="18"/>
                <w:szCs w:val="18"/>
              </w:rPr>
              <w:t>building on the understanding of area and volume to become fluent with calculation, and identifying that area and volume relationships are used in the workplace and everyday life</w:t>
            </w:r>
          </w:p>
          <w:p w:rsidR="00A75136" w:rsidRDefault="00A75136" w:rsidP="00BD18E1">
            <w:pPr>
              <w:rPr>
                <w:rFonts w:ascii="Helvetica" w:hAnsi="Helvetica" w:cs="Helvetica"/>
                <w:color w:val="000000"/>
                <w:sz w:val="18"/>
                <w:szCs w:val="18"/>
              </w:rPr>
            </w:pPr>
            <w:r>
              <w:rPr>
                <w:rFonts w:ascii="Helvetica" w:hAnsi="Helvetica" w:cs="Helvetica"/>
                <w:color w:val="000000"/>
                <w:sz w:val="18"/>
                <w:szCs w:val="18"/>
              </w:rPr>
              <w:t>Investigate very small and very large time scales and intervals (ACMMG219)</w:t>
            </w:r>
          </w:p>
          <w:p w:rsidR="00A75136" w:rsidRPr="00D91FAE" w:rsidRDefault="00A75136" w:rsidP="00E45F5C">
            <w:pPr>
              <w:pStyle w:val="ListParagraph"/>
              <w:numPr>
                <w:ilvl w:val="0"/>
                <w:numId w:val="17"/>
              </w:numPr>
              <w:rPr>
                <w:color w:val="0000FF"/>
              </w:rPr>
            </w:pPr>
            <w:r w:rsidRPr="00D91FAE">
              <w:rPr>
                <w:rFonts w:ascii="Helvetica" w:hAnsi="Helvetica" w:cs="Helvetica"/>
                <w:color w:val="0000FF"/>
                <w:sz w:val="18"/>
                <w:szCs w:val="18"/>
              </w:rPr>
              <w:t>investigating the usefulness of scientific notation in representing very large and very small numbers</w:t>
            </w:r>
          </w:p>
          <w:p w:rsidR="005A21B9" w:rsidRPr="004E214D" w:rsidRDefault="005A21B9" w:rsidP="005A21B9">
            <w:pPr>
              <w:rPr>
                <w:b/>
                <w:sz w:val="32"/>
                <w:szCs w:val="32"/>
              </w:rPr>
            </w:pPr>
            <w:r w:rsidRPr="004E214D">
              <w:rPr>
                <w:b/>
                <w:sz w:val="32"/>
                <w:szCs w:val="32"/>
              </w:rPr>
              <w:t>Geometric reasoning:</w:t>
            </w:r>
          </w:p>
          <w:p w:rsidR="004E214D" w:rsidRDefault="009B60C4" w:rsidP="009B60C4">
            <w:pPr>
              <w:rPr>
                <w:rFonts w:ascii="Helvetica" w:hAnsi="Helvetica" w:cs="Helvetica"/>
                <w:color w:val="000000"/>
                <w:sz w:val="18"/>
                <w:szCs w:val="18"/>
              </w:rPr>
            </w:pPr>
            <w:r>
              <w:rPr>
                <w:rFonts w:ascii="Helvetica" w:hAnsi="Helvetica" w:cs="Helvetica"/>
                <w:color w:val="000000"/>
                <w:sz w:val="18"/>
                <w:szCs w:val="18"/>
              </w:rPr>
              <w:t>Use the enlargement transformation to explain similarity and develop the conditions for triangles to be similar (ACMMG220)</w:t>
            </w:r>
          </w:p>
          <w:p w:rsidR="009B60C4" w:rsidRPr="00D91FAE" w:rsidRDefault="009B60C4" w:rsidP="009B60C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91FAE">
              <w:rPr>
                <w:rFonts w:ascii="Helvetica" w:hAnsi="Helvetica" w:cs="Helvetica"/>
                <w:color w:val="0000FF"/>
                <w:sz w:val="18"/>
                <w:szCs w:val="18"/>
              </w:rPr>
              <w:t>understanding that similarity and congruence help describe relationships between geometrical shapes and form the basis of reasoning and proof</w:t>
            </w:r>
          </w:p>
          <w:p w:rsidR="009B60C4" w:rsidRPr="00D91FAE" w:rsidRDefault="009B60C4" w:rsidP="009B60C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91FAE">
              <w:rPr>
                <w:rFonts w:ascii="Helvetica" w:hAnsi="Helvetica" w:cs="Helvetica"/>
                <w:color w:val="0000FF"/>
                <w:sz w:val="18"/>
                <w:szCs w:val="18"/>
              </w:rPr>
              <w:t>using the enlargement transformation to establish similarity</w:t>
            </w:r>
          </w:p>
          <w:p w:rsidR="009B60C4" w:rsidRPr="00D91FAE" w:rsidRDefault="009B60C4" w:rsidP="009B60C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91FAE">
              <w:rPr>
                <w:rFonts w:ascii="Helvetica" w:hAnsi="Helvetica" w:cs="Helvetica"/>
                <w:color w:val="0000FF"/>
                <w:sz w:val="18"/>
                <w:szCs w:val="18"/>
              </w:rPr>
              <w:t>establishing the conditions for similarity of two triangles and comparing this to the conditions for congruence</w:t>
            </w:r>
          </w:p>
          <w:p w:rsidR="009B60C4" w:rsidRPr="00D91FAE" w:rsidRDefault="009B60C4" w:rsidP="009B60C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91FAE">
              <w:rPr>
                <w:rFonts w:ascii="Helvetica" w:hAnsi="Helvetica" w:cs="Helvetica"/>
                <w:color w:val="0000FF"/>
                <w:sz w:val="18"/>
                <w:szCs w:val="18"/>
              </w:rPr>
              <w:t>using the properties of similarity and ratio, and correct mathematical notation and language, to solve problems involving enlargement (for example scale diagrams)</w:t>
            </w:r>
          </w:p>
          <w:p w:rsidR="009B60C4" w:rsidRDefault="009B60C4" w:rsidP="009B60C4">
            <w:pPr>
              <w:rPr>
                <w:rFonts w:ascii="Helvetica" w:hAnsi="Helvetica" w:cs="Helvetica"/>
                <w:color w:val="000000"/>
                <w:sz w:val="18"/>
                <w:szCs w:val="18"/>
              </w:rPr>
            </w:pPr>
            <w:r>
              <w:rPr>
                <w:rFonts w:ascii="Helvetica" w:hAnsi="Helvetica" w:cs="Helvetica"/>
                <w:color w:val="000000"/>
                <w:sz w:val="18"/>
                <w:szCs w:val="18"/>
              </w:rPr>
              <w:t>Solve problems using ratio and scale factors in similar figures (ACMMG221)</w:t>
            </w:r>
          </w:p>
          <w:p w:rsidR="009B60C4" w:rsidRPr="00D91FAE" w:rsidRDefault="009B60C4" w:rsidP="009B60C4">
            <w:pPr>
              <w:pStyle w:val="ListParagraph"/>
              <w:numPr>
                <w:ilvl w:val="0"/>
                <w:numId w:val="18"/>
              </w:numPr>
              <w:rPr>
                <w:color w:val="0000FF"/>
                <w:sz w:val="28"/>
                <w:szCs w:val="28"/>
              </w:rPr>
            </w:pPr>
            <w:r w:rsidRPr="00D91FAE">
              <w:rPr>
                <w:rFonts w:ascii="Helvetica" w:hAnsi="Helvetica" w:cs="Helvetica"/>
                <w:color w:val="0000FF"/>
                <w:sz w:val="18"/>
                <w:szCs w:val="18"/>
              </w:rPr>
              <w:t>establishing the relationship between areas of similar figures and the ratio of corresponding sides (scale factor)</w:t>
            </w:r>
          </w:p>
          <w:p w:rsidR="004A3C97" w:rsidRPr="004E214D" w:rsidRDefault="002108AD" w:rsidP="002108AD">
            <w:pPr>
              <w:rPr>
                <w:b/>
                <w:sz w:val="32"/>
                <w:szCs w:val="32"/>
              </w:rPr>
            </w:pPr>
            <w:r w:rsidRPr="004E214D">
              <w:rPr>
                <w:b/>
                <w:sz w:val="32"/>
                <w:szCs w:val="32"/>
              </w:rPr>
              <w:t>Pythagoras and trigonometry:</w:t>
            </w:r>
          </w:p>
          <w:p w:rsidR="00EB74A5" w:rsidRDefault="00B830DB" w:rsidP="006F5517">
            <w:pPr>
              <w:rPr>
                <w:rFonts w:ascii="Helvetica" w:hAnsi="Helvetica" w:cs="Helvetica"/>
                <w:color w:val="000000"/>
                <w:sz w:val="18"/>
                <w:szCs w:val="18"/>
              </w:rPr>
            </w:pPr>
            <w:r>
              <w:rPr>
                <w:rFonts w:ascii="Helvetica" w:hAnsi="Helvetica" w:cs="Helvetica"/>
                <w:color w:val="000000"/>
                <w:sz w:val="18"/>
                <w:szCs w:val="18"/>
              </w:rPr>
              <w:t>Investigate Pythagoras’ Theorem and its application to solving simple problems involving right angled triangles (ACMMG222)</w:t>
            </w:r>
          </w:p>
          <w:p w:rsidR="00930771" w:rsidRPr="00D91FAE" w:rsidRDefault="00B830DB" w:rsidP="00B830D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91FAE">
              <w:rPr>
                <w:rFonts w:ascii="Helvetica" w:hAnsi="Helvetica" w:cs="Helvetica"/>
                <w:color w:val="0000FF"/>
                <w:sz w:val="18"/>
                <w:szCs w:val="18"/>
              </w:rPr>
              <w:t xml:space="preserve">understanding that Pythagoras’ Theorem is a useful tool in determining unknown lengths in </w:t>
            </w:r>
            <w:proofErr w:type="spellStart"/>
            <w:r w:rsidRPr="00D91FAE">
              <w:rPr>
                <w:rFonts w:ascii="Helvetica" w:hAnsi="Helvetica" w:cs="Helvetica"/>
                <w:color w:val="0000FF"/>
                <w:sz w:val="18"/>
                <w:szCs w:val="18"/>
              </w:rPr>
              <w:t>right­angled</w:t>
            </w:r>
            <w:proofErr w:type="spellEnd"/>
            <w:r w:rsidRPr="00D91FAE">
              <w:rPr>
                <w:rFonts w:ascii="Helvetica" w:hAnsi="Helvetica" w:cs="Helvetica"/>
                <w:color w:val="0000FF"/>
                <w:sz w:val="18"/>
                <w:szCs w:val="18"/>
              </w:rPr>
              <w:t xml:space="preserve"> triangles and has widespread applications</w:t>
            </w:r>
          </w:p>
          <w:p w:rsidR="00B830DB" w:rsidRPr="00D91FAE" w:rsidRDefault="00B830DB" w:rsidP="00B830D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D91FAE">
              <w:rPr>
                <w:rFonts w:ascii="Helvetica" w:hAnsi="Helvetica" w:cs="Helvetica"/>
                <w:color w:val="0000FF"/>
                <w:sz w:val="18"/>
                <w:szCs w:val="18"/>
              </w:rPr>
              <w:t>recognising</w:t>
            </w:r>
            <w:proofErr w:type="spellEnd"/>
            <w:r w:rsidRPr="00D91FAE">
              <w:rPr>
                <w:rFonts w:ascii="Helvetica" w:hAnsi="Helvetica" w:cs="Helvetica"/>
                <w:color w:val="0000FF"/>
                <w:sz w:val="18"/>
                <w:szCs w:val="18"/>
              </w:rPr>
              <w:t xml:space="preserve"> that </w:t>
            </w:r>
            <w:proofErr w:type="spellStart"/>
            <w:r w:rsidRPr="00D91FAE">
              <w:rPr>
                <w:rFonts w:ascii="Helvetica" w:hAnsi="Helvetica" w:cs="Helvetica"/>
                <w:color w:val="0000FF"/>
                <w:sz w:val="18"/>
                <w:szCs w:val="18"/>
              </w:rPr>
              <w:t>right­angled</w:t>
            </w:r>
            <w:proofErr w:type="spellEnd"/>
            <w:r w:rsidRPr="00D91FAE">
              <w:rPr>
                <w:rFonts w:ascii="Helvetica" w:hAnsi="Helvetica" w:cs="Helvetica"/>
                <w:color w:val="0000FF"/>
                <w:sz w:val="18"/>
                <w:szCs w:val="18"/>
              </w:rPr>
              <w:t xml:space="preserve"> triangle calculations may generate results that can be integral, fractional or irrational numbers known as surds</w:t>
            </w:r>
          </w:p>
          <w:p w:rsidR="00930771" w:rsidRDefault="00B830DB" w:rsidP="00B830DB">
            <w:pPr>
              <w:rPr>
                <w:rFonts w:ascii="Helvetica" w:hAnsi="Helvetica" w:cs="Helvetica"/>
                <w:color w:val="000000"/>
                <w:sz w:val="18"/>
                <w:szCs w:val="18"/>
              </w:rPr>
            </w:pPr>
            <w:r>
              <w:rPr>
                <w:rFonts w:ascii="Helvetica" w:hAnsi="Helvetica" w:cs="Helvetica"/>
                <w:color w:val="000000"/>
                <w:sz w:val="18"/>
                <w:szCs w:val="18"/>
              </w:rPr>
              <w:t xml:space="preserve">Use similarity to investigate the constancy of the sine, cosine and tangent ratios for a given angle in </w:t>
            </w:r>
            <w:proofErr w:type="spellStart"/>
            <w:r>
              <w:rPr>
                <w:rFonts w:ascii="Helvetica" w:hAnsi="Helvetica" w:cs="Helvetica"/>
                <w:color w:val="000000"/>
                <w:sz w:val="18"/>
                <w:szCs w:val="18"/>
              </w:rPr>
              <w:t>right­angled</w:t>
            </w:r>
            <w:proofErr w:type="spellEnd"/>
            <w:r>
              <w:rPr>
                <w:rFonts w:ascii="Helvetica" w:hAnsi="Helvetica" w:cs="Helvetica"/>
                <w:color w:val="000000"/>
                <w:sz w:val="18"/>
                <w:szCs w:val="18"/>
              </w:rPr>
              <w:t xml:space="preserve"> triangles (ACMMG223)</w:t>
            </w:r>
          </w:p>
          <w:p w:rsidR="00B830DB" w:rsidRPr="00D91FAE" w:rsidRDefault="00B830DB" w:rsidP="00930771">
            <w:pPr>
              <w:pStyle w:val="ListParagraph"/>
              <w:numPr>
                <w:ilvl w:val="0"/>
                <w:numId w:val="19"/>
              </w:numPr>
              <w:rPr>
                <w:rFonts w:ascii="Helvetica" w:hAnsi="Helvetica" w:cs="Helvetica"/>
                <w:color w:val="0000FF"/>
                <w:sz w:val="18"/>
                <w:szCs w:val="18"/>
              </w:rPr>
            </w:pPr>
            <w:r w:rsidRPr="00D91FAE">
              <w:rPr>
                <w:rFonts w:ascii="Helvetica" w:hAnsi="Helvetica" w:cs="Helvetica"/>
                <w:color w:val="0000FF"/>
                <w:sz w:val="18"/>
                <w:szCs w:val="18"/>
              </w:rPr>
              <w:t xml:space="preserve">developing understanding of the relationship between the corresponding sides of similar </w:t>
            </w:r>
            <w:proofErr w:type="spellStart"/>
            <w:r w:rsidRPr="00D91FAE">
              <w:rPr>
                <w:rFonts w:ascii="Helvetica" w:hAnsi="Helvetica" w:cs="Helvetica"/>
                <w:color w:val="0000FF"/>
                <w:sz w:val="18"/>
                <w:szCs w:val="18"/>
              </w:rPr>
              <w:t>right­angled</w:t>
            </w:r>
            <w:proofErr w:type="spellEnd"/>
            <w:r w:rsidRPr="00D91FAE">
              <w:rPr>
                <w:rFonts w:ascii="Helvetica" w:hAnsi="Helvetica" w:cs="Helvetica"/>
                <w:color w:val="0000FF"/>
                <w:sz w:val="18"/>
                <w:szCs w:val="18"/>
              </w:rPr>
              <w:t xml:space="preserve"> triangles</w:t>
            </w:r>
          </w:p>
          <w:p w:rsidR="00B830DB" w:rsidRDefault="00B830DB" w:rsidP="00B830DB">
            <w:pPr>
              <w:rPr>
                <w:rFonts w:ascii="Helvetica" w:hAnsi="Helvetica" w:cs="Helvetica"/>
                <w:color w:val="000000"/>
                <w:sz w:val="18"/>
                <w:szCs w:val="18"/>
              </w:rPr>
            </w:pPr>
            <w:r>
              <w:rPr>
                <w:rFonts w:ascii="Helvetica" w:hAnsi="Helvetica" w:cs="Helvetica"/>
                <w:color w:val="000000"/>
                <w:sz w:val="18"/>
                <w:szCs w:val="18"/>
              </w:rPr>
              <w:t xml:space="preserve">Apply trigonometry to solve </w:t>
            </w:r>
            <w:proofErr w:type="spellStart"/>
            <w:r>
              <w:rPr>
                <w:rFonts w:ascii="Helvetica" w:hAnsi="Helvetica" w:cs="Helvetica"/>
                <w:color w:val="000000"/>
                <w:sz w:val="18"/>
                <w:szCs w:val="18"/>
              </w:rPr>
              <w:t>right­angled</w:t>
            </w:r>
            <w:proofErr w:type="spellEnd"/>
            <w:r>
              <w:rPr>
                <w:rFonts w:ascii="Helvetica" w:hAnsi="Helvetica" w:cs="Helvetica"/>
                <w:color w:val="000000"/>
                <w:sz w:val="18"/>
                <w:szCs w:val="18"/>
              </w:rPr>
              <w:t xml:space="preserve"> triangle problems (ACMMG224)</w:t>
            </w:r>
          </w:p>
          <w:p w:rsidR="00930771" w:rsidRPr="00D91FAE" w:rsidRDefault="00B830DB" w:rsidP="00B830DB">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91FAE">
              <w:rPr>
                <w:rFonts w:ascii="Helvetica" w:hAnsi="Helvetica" w:cs="Helvetica"/>
                <w:color w:val="0000FF"/>
                <w:sz w:val="18"/>
                <w:szCs w:val="18"/>
              </w:rPr>
              <w:lastRenderedPageBreak/>
              <w:t xml:space="preserve">understanding the terms 'adjacent' and 'opposite' sides in a </w:t>
            </w:r>
            <w:proofErr w:type="spellStart"/>
            <w:r w:rsidRPr="00D91FAE">
              <w:rPr>
                <w:rFonts w:ascii="Helvetica" w:hAnsi="Helvetica" w:cs="Helvetica"/>
                <w:color w:val="0000FF"/>
                <w:sz w:val="18"/>
                <w:szCs w:val="18"/>
              </w:rPr>
              <w:t>right­angled</w:t>
            </w:r>
            <w:proofErr w:type="spellEnd"/>
            <w:r w:rsidRPr="00D91FAE">
              <w:rPr>
                <w:rFonts w:ascii="Helvetica" w:hAnsi="Helvetica" w:cs="Helvetica"/>
                <w:color w:val="0000FF"/>
                <w:sz w:val="18"/>
                <w:szCs w:val="18"/>
              </w:rPr>
              <w:t xml:space="preserve"> triangle</w:t>
            </w:r>
          </w:p>
          <w:p w:rsidR="00B830DB" w:rsidRPr="00930771" w:rsidRDefault="00B830DB" w:rsidP="00B830DB">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D91FAE">
              <w:rPr>
                <w:rFonts w:ascii="Helvetica" w:hAnsi="Helvetica" w:cs="Helvetica"/>
                <w:color w:val="0000FF"/>
                <w:sz w:val="18"/>
                <w:szCs w:val="18"/>
              </w:rPr>
              <w:t xml:space="preserve">selecting and accurately using the correct trigonometric ratio to find unknown sides (adjacent, opposite and hypotenuse) and angles in </w:t>
            </w:r>
            <w:proofErr w:type="spellStart"/>
            <w:r w:rsidRPr="00D91FAE">
              <w:rPr>
                <w:rFonts w:ascii="Helvetica" w:hAnsi="Helvetica" w:cs="Helvetica"/>
                <w:color w:val="0000FF"/>
                <w:sz w:val="18"/>
                <w:szCs w:val="18"/>
              </w:rPr>
              <w:t>right­angled</w:t>
            </w:r>
            <w:proofErr w:type="spellEnd"/>
            <w:r w:rsidRPr="00D91FAE">
              <w:rPr>
                <w:rFonts w:ascii="Helvetica" w:hAnsi="Helvetica" w:cs="Helvetica"/>
                <w:color w:val="0000FF"/>
                <w:sz w:val="18"/>
                <w:szCs w:val="18"/>
              </w:rPr>
              <w:t xml:space="preserve"> triangles</w:t>
            </w:r>
          </w:p>
        </w:tc>
        <w:tc>
          <w:tcPr>
            <w:tcW w:w="6840" w:type="dxa"/>
            <w:tcBorders>
              <w:bottom w:val="single" w:sz="4" w:space="0" w:color="auto"/>
            </w:tcBorders>
            <w:shd w:val="clear" w:color="auto" w:fill="E3D8FF"/>
          </w:tcPr>
          <w:p w:rsidR="00A45E99" w:rsidRPr="004E214D" w:rsidRDefault="004A3C97" w:rsidP="00A45E99">
            <w:pPr>
              <w:rPr>
                <w:b/>
                <w:sz w:val="32"/>
                <w:szCs w:val="32"/>
              </w:rPr>
            </w:pPr>
            <w:r w:rsidRPr="004E214D">
              <w:rPr>
                <w:b/>
                <w:sz w:val="32"/>
                <w:szCs w:val="32"/>
              </w:rPr>
              <w:lastRenderedPageBreak/>
              <w:t>Chance</w:t>
            </w:r>
            <w:r w:rsidR="00572232" w:rsidRPr="004E214D">
              <w:rPr>
                <w:b/>
                <w:sz w:val="32"/>
                <w:szCs w:val="32"/>
              </w:rPr>
              <w:t>:</w:t>
            </w:r>
          </w:p>
          <w:p w:rsidR="00C40806" w:rsidRDefault="00AC4BFD" w:rsidP="008078B9">
            <w:pPr>
              <w:rPr>
                <w:rFonts w:ascii="Helvetica" w:hAnsi="Helvetica" w:cs="Helvetica"/>
                <w:color w:val="000000"/>
                <w:sz w:val="18"/>
                <w:szCs w:val="18"/>
              </w:rPr>
            </w:pPr>
            <w:r>
              <w:rPr>
                <w:rFonts w:ascii="Helvetica" w:hAnsi="Helvetica" w:cs="Helvetica"/>
                <w:color w:val="000000"/>
                <w:sz w:val="18"/>
                <w:szCs w:val="18"/>
              </w:rPr>
              <w:t xml:space="preserve">List all outcomes for </w:t>
            </w:r>
            <w:proofErr w:type="spellStart"/>
            <w:r>
              <w:rPr>
                <w:rFonts w:ascii="Helvetica" w:hAnsi="Helvetica" w:cs="Helvetica"/>
                <w:color w:val="000000"/>
                <w:sz w:val="18"/>
                <w:szCs w:val="18"/>
              </w:rPr>
              <w:t>two­step</w:t>
            </w:r>
            <w:proofErr w:type="spellEnd"/>
            <w:r>
              <w:rPr>
                <w:rFonts w:ascii="Helvetica" w:hAnsi="Helvetica" w:cs="Helvetica"/>
                <w:color w:val="000000"/>
                <w:sz w:val="18"/>
                <w:szCs w:val="18"/>
              </w:rPr>
              <w:t xml:space="preserve"> chance experiments, both with and without replacement using tree diagrams or arrays. Assign probabilities to outcomes and determine probabilities for events (ACMSP225)</w:t>
            </w:r>
          </w:p>
          <w:p w:rsidR="00AC4BFD" w:rsidRDefault="00AC4BFD" w:rsidP="00AC4BFD">
            <w:pPr>
              <w:rPr>
                <w:rFonts w:ascii="Helvetica" w:hAnsi="Helvetica" w:cs="Helvetica"/>
                <w:color w:val="000000"/>
                <w:sz w:val="18"/>
                <w:szCs w:val="18"/>
              </w:rPr>
            </w:pPr>
            <w:r>
              <w:rPr>
                <w:rFonts w:ascii="Helvetica" w:hAnsi="Helvetica" w:cs="Helvetica"/>
                <w:color w:val="000000"/>
                <w:sz w:val="18"/>
                <w:szCs w:val="18"/>
              </w:rPr>
              <w:t>Calculate relative frequencies from given or collected data to estimate probabilities of events involving 'and' or 'or' (ACMSP226)</w:t>
            </w:r>
          </w:p>
          <w:p w:rsidR="00AC4BFD" w:rsidRPr="00D91FAE" w:rsidRDefault="00AC4BFD" w:rsidP="00AC4BFD">
            <w:pPr>
              <w:pStyle w:val="ListParagraph"/>
              <w:numPr>
                <w:ilvl w:val="0"/>
                <w:numId w:val="20"/>
              </w:numPr>
              <w:rPr>
                <w:rFonts w:ascii="Helvetica" w:hAnsi="Helvetica" w:cs="Helvetica"/>
                <w:color w:val="0000FF"/>
                <w:sz w:val="18"/>
                <w:szCs w:val="18"/>
              </w:rPr>
            </w:pPr>
            <w:r w:rsidRPr="00D91FAE">
              <w:rPr>
                <w:rFonts w:ascii="Helvetica" w:hAnsi="Helvetica" w:cs="Helvetica"/>
                <w:color w:val="0000FF"/>
                <w:sz w:val="18"/>
                <w:szCs w:val="18"/>
              </w:rPr>
              <w:t>posing ‘and’, ‘or’, ‘not’ and ‘given’ probability questions about objects or people</w:t>
            </w:r>
          </w:p>
          <w:p w:rsidR="00AC4BFD" w:rsidRPr="00D91FAE" w:rsidRDefault="00AC4BFD" w:rsidP="00AC4BFD">
            <w:pPr>
              <w:pStyle w:val="ListParagraph"/>
              <w:numPr>
                <w:ilvl w:val="0"/>
                <w:numId w:val="20"/>
              </w:numPr>
              <w:rPr>
                <w:rFonts w:ascii="Helvetica" w:hAnsi="Helvetica" w:cs="Helvetica"/>
                <w:color w:val="0000FF"/>
                <w:sz w:val="18"/>
                <w:szCs w:val="18"/>
              </w:rPr>
            </w:pPr>
            <w:r w:rsidRPr="00D91FAE">
              <w:rPr>
                <w:rFonts w:ascii="Helvetica" w:hAnsi="Helvetica" w:cs="Helvetica"/>
                <w:color w:val="0000FF"/>
                <w:sz w:val="18"/>
                <w:szCs w:val="18"/>
              </w:rPr>
              <w:t xml:space="preserve">collecting data to answer the questions using Venn diagrams or </w:t>
            </w:r>
            <w:proofErr w:type="spellStart"/>
            <w:r w:rsidRPr="00D91FAE">
              <w:rPr>
                <w:rFonts w:ascii="Helvetica" w:hAnsi="Helvetica" w:cs="Helvetica"/>
                <w:color w:val="0000FF"/>
                <w:sz w:val="18"/>
                <w:szCs w:val="18"/>
              </w:rPr>
              <w:t>two­way</w:t>
            </w:r>
            <w:proofErr w:type="spellEnd"/>
            <w:r w:rsidRPr="00D91FAE">
              <w:rPr>
                <w:rFonts w:ascii="Helvetica" w:hAnsi="Helvetica" w:cs="Helvetica"/>
                <w:color w:val="0000FF"/>
                <w:sz w:val="18"/>
                <w:szCs w:val="18"/>
              </w:rPr>
              <w:t xml:space="preserve"> tables</w:t>
            </w:r>
          </w:p>
          <w:p w:rsidR="00D92C3B" w:rsidRDefault="00D92C3B" w:rsidP="00D92C3B">
            <w:pPr>
              <w:rPr>
                <w:rFonts w:ascii="Lucida Grande" w:hAnsi="Lucida Grande" w:cs="Lucida Grande"/>
                <w:b/>
                <w:color w:val="000000"/>
              </w:rPr>
            </w:pPr>
            <w:r>
              <w:rPr>
                <w:rFonts w:ascii="Helvetica" w:hAnsi="Helvetica" w:cs="Helvetica"/>
                <w:color w:val="000000"/>
                <w:sz w:val="18"/>
                <w:szCs w:val="18"/>
              </w:rPr>
              <w:t xml:space="preserve">Investigate reports of surveys in digital media and elsewhere for information on how data were obtained to estimate population means and medians (ACMSP227) </w:t>
            </w:r>
            <w:r w:rsidRPr="00544384">
              <w:rPr>
                <w:rFonts w:ascii="Lucida Grande" w:hAnsi="Lucida Grande" w:cs="Lucida Grande"/>
                <w:b/>
                <w:color w:val="000000"/>
              </w:rPr>
              <w:t>ã</w:t>
            </w:r>
          </w:p>
          <w:p w:rsidR="00D92C3B" w:rsidRPr="00D91FAE" w:rsidRDefault="00D92C3B" w:rsidP="00D92C3B">
            <w:pPr>
              <w:pStyle w:val="ListParagraph"/>
              <w:numPr>
                <w:ilvl w:val="0"/>
                <w:numId w:val="21"/>
              </w:numPr>
              <w:rPr>
                <w:rFonts w:ascii="Lucida Grande" w:hAnsi="Lucida Grande" w:cs="Lucida Grande"/>
                <w:b/>
                <w:color w:val="0000FF"/>
              </w:rPr>
            </w:pPr>
            <w:r w:rsidRPr="00D91FAE">
              <w:rPr>
                <w:rFonts w:ascii="Helvetica" w:hAnsi="Helvetica" w:cs="Helvetica"/>
                <w:color w:val="0000FF"/>
                <w:sz w:val="18"/>
                <w:szCs w:val="18"/>
              </w:rPr>
              <w:t xml:space="preserve">investigating a range of data and its sources, for example the age of residents in Australia, Cambodia and Tonga; the number of subjects studied at school in a level by 14­level­ old students in Australia, Japan and </w:t>
            </w:r>
            <w:proofErr w:type="spellStart"/>
            <w:r w:rsidRPr="00D91FAE">
              <w:rPr>
                <w:rFonts w:ascii="Helvetica" w:hAnsi="Helvetica" w:cs="Helvetica"/>
                <w:color w:val="0000FF"/>
                <w:sz w:val="18"/>
                <w:szCs w:val="18"/>
              </w:rPr>
              <w:t>Timor­Leste</w:t>
            </w:r>
            <w:proofErr w:type="spellEnd"/>
          </w:p>
          <w:p w:rsidR="00572232" w:rsidRPr="004E214D" w:rsidRDefault="00536C91" w:rsidP="00572232">
            <w:pPr>
              <w:rPr>
                <w:b/>
                <w:sz w:val="32"/>
                <w:szCs w:val="32"/>
              </w:rPr>
            </w:pPr>
            <w:r w:rsidRPr="004E214D">
              <w:rPr>
                <w:b/>
                <w:sz w:val="32"/>
                <w:szCs w:val="32"/>
              </w:rPr>
              <w:t>Data representation &amp; interpretation</w:t>
            </w:r>
            <w:r w:rsidR="00572232" w:rsidRPr="004E214D">
              <w:rPr>
                <w:b/>
                <w:sz w:val="32"/>
                <w:szCs w:val="32"/>
              </w:rPr>
              <w:t>:</w:t>
            </w:r>
          </w:p>
          <w:p w:rsidR="00572232" w:rsidRDefault="00D92C3B" w:rsidP="00D92C3B">
            <w:pPr>
              <w:rPr>
                <w:rFonts w:ascii="Helvetica" w:hAnsi="Helvetica" w:cs="Helvetica"/>
                <w:b/>
                <w:color w:val="000000"/>
                <w:sz w:val="20"/>
                <w:szCs w:val="20"/>
              </w:rPr>
            </w:pPr>
            <w:r>
              <w:rPr>
                <w:rFonts w:ascii="Helvetica" w:hAnsi="Helvetica" w:cs="Helvetica"/>
                <w:color w:val="000000"/>
                <w:sz w:val="18"/>
                <w:szCs w:val="18"/>
              </w:rPr>
              <w:t xml:space="preserve">Identify everyday questions and issues involving at least one numerical and at least one categorical variable, and collect data directly from secondary sources (ACMSP228) </w:t>
            </w:r>
            <w:r w:rsidRPr="00D92C3B">
              <w:rPr>
                <w:rFonts w:ascii="Helvetica" w:hAnsi="Helvetica" w:cs="Helvetica"/>
                <w:b/>
                <w:color w:val="000000"/>
                <w:sz w:val="20"/>
                <w:szCs w:val="20"/>
              </w:rPr>
              <w:t>ã</w:t>
            </w:r>
          </w:p>
          <w:p w:rsidR="00D92C3B" w:rsidRPr="00D91FAE" w:rsidRDefault="00D92C3B" w:rsidP="00D92C3B">
            <w:pPr>
              <w:pStyle w:val="ListParagraph"/>
              <w:numPr>
                <w:ilvl w:val="0"/>
                <w:numId w:val="21"/>
              </w:numPr>
              <w:rPr>
                <w:color w:val="0000FF"/>
                <w:sz w:val="28"/>
                <w:szCs w:val="28"/>
              </w:rPr>
            </w:pPr>
            <w:r w:rsidRPr="00D91FAE">
              <w:rPr>
                <w:rFonts w:ascii="Helvetica" w:hAnsi="Helvetica" w:cs="Helvetica"/>
                <w:color w:val="0000FF"/>
                <w:sz w:val="18"/>
                <w:szCs w:val="18"/>
              </w:rPr>
              <w:t>comparing the annual rainfall in various parts of Australia, Pakistan, New Guinea and Malaysia</w:t>
            </w:r>
          </w:p>
          <w:p w:rsidR="00D92C3B" w:rsidRDefault="00D92C3B" w:rsidP="00D92C3B">
            <w:pPr>
              <w:rPr>
                <w:rFonts w:ascii="Helvetica" w:hAnsi="Helvetica" w:cs="Helvetica"/>
                <w:color w:val="000000"/>
                <w:sz w:val="18"/>
                <w:szCs w:val="18"/>
              </w:rPr>
            </w:pPr>
            <w:r>
              <w:rPr>
                <w:rFonts w:ascii="Helvetica" w:hAnsi="Helvetica" w:cs="Helvetica"/>
                <w:color w:val="000000"/>
                <w:sz w:val="18"/>
                <w:szCs w:val="18"/>
              </w:rPr>
              <w:t xml:space="preserve">Construct </w:t>
            </w:r>
            <w:proofErr w:type="spellStart"/>
            <w:r>
              <w:rPr>
                <w:rFonts w:ascii="Helvetica" w:hAnsi="Helvetica" w:cs="Helvetica"/>
                <w:color w:val="000000"/>
                <w:sz w:val="18"/>
                <w:szCs w:val="18"/>
              </w:rPr>
              <w:t>back­to­back</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stem­and­leaf</w:t>
            </w:r>
            <w:proofErr w:type="spellEnd"/>
            <w:r>
              <w:rPr>
                <w:rFonts w:ascii="Helvetica" w:hAnsi="Helvetica" w:cs="Helvetica"/>
                <w:color w:val="000000"/>
                <w:sz w:val="18"/>
                <w:szCs w:val="18"/>
              </w:rPr>
              <w:t xml:space="preserve"> plots and histograms and describe data, using terms including ‘skewed’, ‘symmetric’ and ‘bi modal’ (ACMSP282)</w:t>
            </w:r>
          </w:p>
          <w:p w:rsidR="00D92C3B" w:rsidRDefault="00D92C3B" w:rsidP="00D92C3B">
            <w:pPr>
              <w:rPr>
                <w:rFonts w:ascii="Helvetica" w:hAnsi="Helvetica" w:cs="Helvetica"/>
                <w:color w:val="000000"/>
                <w:sz w:val="18"/>
                <w:szCs w:val="18"/>
              </w:rPr>
            </w:pPr>
          </w:p>
          <w:p w:rsidR="00D92C3B" w:rsidRDefault="00D92C3B" w:rsidP="00D92C3B">
            <w:pPr>
              <w:rPr>
                <w:rFonts w:ascii="Helvetica" w:hAnsi="Helvetica" w:cs="Helvetica"/>
                <w:color w:val="000000"/>
                <w:sz w:val="18"/>
                <w:szCs w:val="18"/>
              </w:rPr>
            </w:pPr>
            <w:r>
              <w:rPr>
                <w:rFonts w:ascii="Helvetica" w:hAnsi="Helvetica" w:cs="Helvetica"/>
                <w:color w:val="000000"/>
                <w:sz w:val="18"/>
                <w:szCs w:val="18"/>
              </w:rPr>
              <w:t>Compare data displays using mean, median and range to describe and interpret numerical data sets in terms of location (centre) and spread (ACMSP283)</w:t>
            </w:r>
          </w:p>
          <w:p w:rsidR="00D92C3B" w:rsidRDefault="00D92C3B" w:rsidP="00D92C3B">
            <w:pPr>
              <w:rPr>
                <w:rFonts w:ascii="Helvetica" w:hAnsi="Helvetica" w:cs="Helvetica"/>
                <w:color w:val="000000"/>
                <w:sz w:val="18"/>
                <w:szCs w:val="18"/>
              </w:rPr>
            </w:pPr>
          </w:p>
          <w:p w:rsidR="00D92C3B" w:rsidRPr="00D92C3B" w:rsidRDefault="00D92C3B" w:rsidP="00D92C3B">
            <w:pPr>
              <w:rPr>
                <w:sz w:val="28"/>
                <w:szCs w:val="28"/>
              </w:rPr>
            </w:pPr>
            <w:r>
              <w:rPr>
                <w:rFonts w:ascii="Helvetica" w:hAnsi="Helvetica" w:cs="Helvetica"/>
                <w:color w:val="000000"/>
                <w:sz w:val="18"/>
                <w:szCs w:val="18"/>
              </w:rPr>
              <w:t>Investigate techniques for collecting data, including census, sampling and observation (ACMSP284)</w:t>
            </w:r>
          </w:p>
        </w:tc>
      </w:tr>
      <w:tr w:rsidR="00954EA1" w:rsidTr="00EC5143">
        <w:tc>
          <w:tcPr>
            <w:tcW w:w="21060" w:type="dxa"/>
            <w:gridSpan w:val="3"/>
            <w:shd w:val="clear" w:color="auto" w:fill="auto"/>
          </w:tcPr>
          <w:p w:rsidR="00954EA1" w:rsidRDefault="00954EA1" w:rsidP="00A45E99">
            <w:pPr>
              <w:rPr>
                <w:rFonts w:ascii="Helvetica" w:hAnsi="Helvetica" w:cs="Helvetica"/>
                <w:b/>
                <w:color w:val="000000"/>
                <w:sz w:val="28"/>
                <w:szCs w:val="28"/>
              </w:rPr>
            </w:pPr>
            <w:r w:rsidRPr="00954EA1">
              <w:rPr>
                <w:rFonts w:ascii="Helvetica" w:hAnsi="Helvetica" w:cs="Helvetica"/>
                <w:b/>
                <w:color w:val="000000"/>
                <w:sz w:val="28"/>
                <w:szCs w:val="28"/>
              </w:rPr>
              <w:lastRenderedPageBreak/>
              <w:t>Level 9 achievement standard</w:t>
            </w:r>
          </w:p>
          <w:p w:rsidR="00954EA1" w:rsidRDefault="00954EA1" w:rsidP="00954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By the end of Level 9, students solve problems involving simple interest. They interpret ratio and scale factors in similar figures. Students explain similarity of triangles. They </w:t>
            </w:r>
            <w:proofErr w:type="spellStart"/>
            <w:r>
              <w:rPr>
                <w:rFonts w:ascii="Helvetica" w:hAnsi="Helvetica" w:cs="Helvetica"/>
                <w:color w:val="000000"/>
                <w:sz w:val="18"/>
                <w:szCs w:val="18"/>
              </w:rPr>
              <w:t>recognise</w:t>
            </w:r>
            <w:proofErr w:type="spellEnd"/>
            <w:r>
              <w:rPr>
                <w:rFonts w:ascii="Helvetica" w:hAnsi="Helvetica" w:cs="Helvetica"/>
                <w:color w:val="000000"/>
                <w:sz w:val="18"/>
                <w:szCs w:val="18"/>
              </w:rPr>
              <w:t xml:space="preserve"> the connections between similarity and the trigonometric ratios. Students compare techniques for collecting data in primary and secondary sources. They make sense of the position of the mean and median in skewed, symmetric and bi­modal displays to describe and interpret data.</w:t>
            </w:r>
          </w:p>
          <w:p w:rsidR="00954EA1" w:rsidRPr="00954EA1" w:rsidRDefault="00954EA1" w:rsidP="00954EA1">
            <w:pPr>
              <w:rPr>
                <w:b/>
                <w:sz w:val="28"/>
                <w:szCs w:val="28"/>
              </w:rPr>
            </w:pPr>
            <w:r>
              <w:rPr>
                <w:rFonts w:ascii="Helvetica" w:hAnsi="Helvetica" w:cs="Helvetica"/>
                <w:color w:val="000000"/>
                <w:sz w:val="18"/>
                <w:szCs w:val="18"/>
              </w:rPr>
              <w:t xml:space="preserve">Students apply the index laws to numbers and express numbers in scientific notation. They expand binomial expressions. They find the distance between two points on the Cartesian plane and the gradient and midpoint of a line segment. They sketch linear and non­linear relations. Students calculate areas of shapes and the volume and surface area of right prisms and cylinders. They use Pythagoras’ Theorem and trigonometry to find unknown sides of </w:t>
            </w:r>
            <w:proofErr w:type="spellStart"/>
            <w:r>
              <w:rPr>
                <w:rFonts w:ascii="Helvetica" w:hAnsi="Helvetica" w:cs="Helvetica"/>
                <w:color w:val="000000"/>
                <w:sz w:val="18"/>
                <w:szCs w:val="18"/>
              </w:rPr>
              <w:t>right­angled</w:t>
            </w:r>
            <w:proofErr w:type="spellEnd"/>
            <w:r>
              <w:rPr>
                <w:rFonts w:ascii="Helvetica" w:hAnsi="Helvetica" w:cs="Helvetica"/>
                <w:color w:val="000000"/>
                <w:sz w:val="18"/>
                <w:szCs w:val="18"/>
              </w:rPr>
              <w:t xml:space="preserve"> triangles. Students calculate relative frequencies to estimate probabilities, list outcomes for </w:t>
            </w:r>
            <w:proofErr w:type="spellStart"/>
            <w:r>
              <w:rPr>
                <w:rFonts w:ascii="Helvetica" w:hAnsi="Helvetica" w:cs="Helvetica"/>
                <w:color w:val="000000"/>
                <w:sz w:val="18"/>
                <w:szCs w:val="18"/>
              </w:rPr>
              <w:t>two­step</w:t>
            </w:r>
            <w:proofErr w:type="spellEnd"/>
            <w:r>
              <w:rPr>
                <w:rFonts w:ascii="Helvetica" w:hAnsi="Helvetica" w:cs="Helvetica"/>
                <w:color w:val="000000"/>
                <w:sz w:val="18"/>
                <w:szCs w:val="18"/>
              </w:rPr>
              <w:t xml:space="preserve"> experiments and assign probabilities for those outcomes. They construct histograms and </w:t>
            </w:r>
            <w:proofErr w:type="spellStart"/>
            <w:r>
              <w:rPr>
                <w:rFonts w:ascii="Helvetica" w:hAnsi="Helvetica" w:cs="Helvetica"/>
                <w:color w:val="000000"/>
                <w:sz w:val="18"/>
                <w:szCs w:val="18"/>
              </w:rPr>
              <w:t>back­to­back</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stem­and­leaf</w:t>
            </w:r>
            <w:proofErr w:type="spellEnd"/>
            <w:r>
              <w:rPr>
                <w:rFonts w:ascii="Helvetica" w:hAnsi="Helvetica" w:cs="Helvetica"/>
                <w:color w:val="000000"/>
                <w:sz w:val="18"/>
                <w:szCs w:val="18"/>
              </w:rPr>
              <w:t xml:space="preserve"> plots.</w:t>
            </w:r>
          </w:p>
        </w:tc>
      </w:tr>
    </w:tbl>
    <w:p w:rsidR="003753E1" w:rsidRDefault="003753E1" w:rsidP="002755AA">
      <w:pPr>
        <w:rPr>
          <w:sz w:val="28"/>
          <w:szCs w:val="28"/>
        </w:rPr>
      </w:pPr>
    </w:p>
    <w:p w:rsidR="00FB1662" w:rsidRDefault="00DF23AE" w:rsidP="00DF23AE">
      <w:pPr>
        <w:ind w:left="6480" w:firstLine="720"/>
        <w:rPr>
          <w:sz w:val="28"/>
          <w:szCs w:val="28"/>
        </w:rPr>
      </w:pPr>
      <w:proofErr w:type="gramStart"/>
      <w:r>
        <w:rPr>
          <w:sz w:val="28"/>
          <w:szCs w:val="28"/>
        </w:rPr>
        <w:t>R</w:t>
      </w:r>
      <w:r w:rsidR="00FB1662">
        <w:rPr>
          <w:sz w:val="28"/>
          <w:szCs w:val="28"/>
        </w:rPr>
        <w:t>eference :</w:t>
      </w:r>
      <w:proofErr w:type="gramEnd"/>
      <w:r w:rsidR="00FB1662">
        <w:rPr>
          <w:sz w:val="28"/>
          <w:szCs w:val="28"/>
        </w:rPr>
        <w:t xml:space="preserve"> </w:t>
      </w:r>
      <w:hyperlink r:id="rId9" w:history="1">
        <w:r w:rsidR="00FB1662" w:rsidRPr="006666FC">
          <w:rPr>
            <w:rStyle w:val="Hyperlink"/>
            <w:sz w:val="28"/>
            <w:szCs w:val="28"/>
          </w:rPr>
          <w:t>http://ausvels.vcaa.vic.edu.au/</w:t>
        </w:r>
      </w:hyperlink>
    </w:p>
    <w:p w:rsidR="00FB1662" w:rsidRDefault="00FB1662" w:rsidP="00DF23AE">
      <w:pPr>
        <w:jc w:val="center"/>
        <w:rPr>
          <w:sz w:val="28"/>
          <w:szCs w:val="28"/>
        </w:rPr>
      </w:pPr>
      <w:r>
        <w:rPr>
          <w:sz w:val="28"/>
          <w:szCs w:val="28"/>
        </w:rPr>
        <w:t>This grid is an adaption of the information from the VCAA site to create a visual representation to assist teachers.</w:t>
      </w:r>
    </w:p>
    <w:p w:rsidR="003502B5" w:rsidRPr="00F12378" w:rsidRDefault="003502B5" w:rsidP="00DF23AE">
      <w:pPr>
        <w:jc w:val="center"/>
        <w:rPr>
          <w:sz w:val="32"/>
          <w:szCs w:val="32"/>
        </w:rPr>
      </w:pPr>
      <w:bookmarkStart w:id="1" w:name="OLE_LINK1"/>
      <w:bookmarkStart w:id="2" w:name="OLE_LINK2"/>
      <w:r>
        <w:rPr>
          <w:sz w:val="32"/>
          <w:szCs w:val="32"/>
        </w:rPr>
        <w:t>Cross-curriculum priorities to be included in all learning areas: Aboriginal and Torres Strait Islander histories and cultures (</w:t>
      </w:r>
      <w:r>
        <w:rPr>
          <w:rFonts w:ascii="Helvetica" w:hAnsi="Helvetica" w:cs="Helvetica"/>
          <w:noProof/>
        </w:rPr>
        <w:drawing>
          <wp:inline distT="0" distB="0" distL="0" distR="0">
            <wp:extent cx="187960" cy="20138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Pr>
          <w:sz w:val="32"/>
          <w:szCs w:val="32"/>
        </w:rPr>
        <w:t>); Asia and Australia’s engagement with Australia (</w:t>
      </w:r>
      <w:proofErr w:type="gramStart"/>
      <w:r>
        <w:rPr>
          <w:rFonts w:ascii="Cambria" w:hAnsi="Cambria"/>
          <w:sz w:val="32"/>
          <w:szCs w:val="32"/>
        </w:rPr>
        <w:t>ã</w:t>
      </w:r>
      <w:r>
        <w:rPr>
          <w:sz w:val="32"/>
          <w:szCs w:val="32"/>
        </w:rPr>
        <w:t xml:space="preserve"> )</w:t>
      </w:r>
      <w:proofErr w:type="gramEnd"/>
      <w:r>
        <w:rPr>
          <w:sz w:val="32"/>
          <w:szCs w:val="32"/>
        </w:rPr>
        <w:t>; Sustainability (</w:t>
      </w:r>
      <w:r>
        <w:rPr>
          <w:rFonts w:ascii="Helvetica" w:hAnsi="Helvetica" w:cs="Helvetica"/>
          <w:noProof/>
        </w:rPr>
        <w:drawing>
          <wp:inline distT="0" distB="0" distL="0" distR="0">
            <wp:extent cx="223520" cy="201168"/>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Pr>
          <w:sz w:val="32"/>
          <w:szCs w:val="32"/>
        </w:rPr>
        <w:t>)</w:t>
      </w:r>
      <w:bookmarkEnd w:id="1"/>
      <w:bookmarkEnd w:id="2"/>
    </w:p>
    <w:p w:rsidR="003502B5" w:rsidRPr="003753E1" w:rsidRDefault="003502B5" w:rsidP="00FB1662">
      <w:pPr>
        <w:jc w:val="center"/>
        <w:rPr>
          <w:sz w:val="28"/>
          <w:szCs w:val="28"/>
        </w:rPr>
      </w:pPr>
    </w:p>
    <w:sectPr w:rsidR="003502B5" w:rsidRPr="003753E1" w:rsidSect="00EC5143">
      <w:footerReference w:type="default" r:id="rId12"/>
      <w:pgSz w:w="23820" w:h="16840" w:orient="landscape"/>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B9" w:rsidRDefault="008078B9" w:rsidP="002755AA">
      <w:r>
        <w:separator/>
      </w:r>
    </w:p>
  </w:endnote>
  <w:endnote w:type="continuationSeparator" w:id="0">
    <w:p w:rsidR="008078B9" w:rsidRDefault="008078B9" w:rsidP="002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B9" w:rsidRPr="00C307E1" w:rsidRDefault="00413465">
    <w:pPr>
      <w:pStyle w:val="Footer"/>
      <w:rPr>
        <w:sz w:val="20"/>
        <w:szCs w:val="20"/>
      </w:rPr>
    </w:pPr>
    <w:r>
      <w:rPr>
        <w:sz w:val="20"/>
        <w:szCs w:val="20"/>
      </w:rPr>
      <w:t>Level9MathCEOB</w:t>
    </w:r>
    <w:r w:rsidR="00B3096E">
      <w:rPr>
        <w:sz w:val="20"/>
        <w:szCs w:val="20"/>
      </w:rPr>
      <w:t>May2012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B9" w:rsidRDefault="008078B9" w:rsidP="002755AA">
      <w:r>
        <w:separator/>
      </w:r>
    </w:p>
  </w:footnote>
  <w:footnote w:type="continuationSeparator" w:id="0">
    <w:p w:rsidR="008078B9" w:rsidRDefault="008078B9" w:rsidP="0027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485"/>
    <w:multiLevelType w:val="hybridMultilevel"/>
    <w:tmpl w:val="3FF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E648D"/>
    <w:multiLevelType w:val="hybridMultilevel"/>
    <w:tmpl w:val="942A87F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13C17720"/>
    <w:multiLevelType w:val="hybridMultilevel"/>
    <w:tmpl w:val="8D3C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F2ABF"/>
    <w:multiLevelType w:val="hybridMultilevel"/>
    <w:tmpl w:val="278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C7105"/>
    <w:multiLevelType w:val="hybridMultilevel"/>
    <w:tmpl w:val="30E2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D4DCC"/>
    <w:multiLevelType w:val="hybridMultilevel"/>
    <w:tmpl w:val="B24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C7427"/>
    <w:multiLevelType w:val="hybridMultilevel"/>
    <w:tmpl w:val="BD8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E491A"/>
    <w:multiLevelType w:val="hybridMultilevel"/>
    <w:tmpl w:val="3D5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45126"/>
    <w:multiLevelType w:val="hybridMultilevel"/>
    <w:tmpl w:val="AFFC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E7401"/>
    <w:multiLevelType w:val="hybridMultilevel"/>
    <w:tmpl w:val="859C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278B7"/>
    <w:multiLevelType w:val="hybridMultilevel"/>
    <w:tmpl w:val="D144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877C1"/>
    <w:multiLevelType w:val="hybridMultilevel"/>
    <w:tmpl w:val="191C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B6A12"/>
    <w:multiLevelType w:val="hybridMultilevel"/>
    <w:tmpl w:val="75B4F36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47596CCC"/>
    <w:multiLevelType w:val="hybridMultilevel"/>
    <w:tmpl w:val="5A6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42382"/>
    <w:multiLevelType w:val="hybridMultilevel"/>
    <w:tmpl w:val="E83E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B33588"/>
    <w:multiLevelType w:val="hybridMultilevel"/>
    <w:tmpl w:val="FA04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2A23B2"/>
    <w:multiLevelType w:val="hybridMultilevel"/>
    <w:tmpl w:val="DC2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2E00B1"/>
    <w:multiLevelType w:val="hybridMultilevel"/>
    <w:tmpl w:val="51A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2B3D82"/>
    <w:multiLevelType w:val="hybridMultilevel"/>
    <w:tmpl w:val="C3CA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80601A"/>
    <w:multiLevelType w:val="hybridMultilevel"/>
    <w:tmpl w:val="FBE0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2C096A"/>
    <w:multiLevelType w:val="hybridMultilevel"/>
    <w:tmpl w:val="0922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5"/>
  </w:num>
  <w:num w:numId="5">
    <w:abstractNumId w:val="17"/>
  </w:num>
  <w:num w:numId="6">
    <w:abstractNumId w:val="2"/>
  </w:num>
  <w:num w:numId="7">
    <w:abstractNumId w:val="16"/>
  </w:num>
  <w:num w:numId="8">
    <w:abstractNumId w:val="7"/>
  </w:num>
  <w:num w:numId="9">
    <w:abstractNumId w:val="13"/>
  </w:num>
  <w:num w:numId="10">
    <w:abstractNumId w:val="8"/>
  </w:num>
  <w:num w:numId="11">
    <w:abstractNumId w:val="19"/>
  </w:num>
  <w:num w:numId="12">
    <w:abstractNumId w:val="4"/>
  </w:num>
  <w:num w:numId="13">
    <w:abstractNumId w:val="6"/>
  </w:num>
  <w:num w:numId="14">
    <w:abstractNumId w:val="18"/>
  </w:num>
  <w:num w:numId="15">
    <w:abstractNumId w:val="10"/>
  </w:num>
  <w:num w:numId="16">
    <w:abstractNumId w:val="20"/>
  </w:num>
  <w:num w:numId="17">
    <w:abstractNumId w:val="15"/>
  </w:num>
  <w:num w:numId="18">
    <w:abstractNumId w:val="11"/>
  </w:num>
  <w:num w:numId="19">
    <w:abstractNumId w:val="9"/>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753E1"/>
    <w:rsid w:val="00014EEE"/>
    <w:rsid w:val="000B166B"/>
    <w:rsid w:val="000B4120"/>
    <w:rsid w:val="000B7550"/>
    <w:rsid w:val="000C7AE7"/>
    <w:rsid w:val="00116F19"/>
    <w:rsid w:val="001B548B"/>
    <w:rsid w:val="001C2682"/>
    <w:rsid w:val="002108AD"/>
    <w:rsid w:val="00235DBE"/>
    <w:rsid w:val="002755AA"/>
    <w:rsid w:val="00277455"/>
    <w:rsid w:val="002834FB"/>
    <w:rsid w:val="002B7766"/>
    <w:rsid w:val="002F2BEF"/>
    <w:rsid w:val="00305D03"/>
    <w:rsid w:val="0031153A"/>
    <w:rsid w:val="003502B5"/>
    <w:rsid w:val="00363F7B"/>
    <w:rsid w:val="0036676B"/>
    <w:rsid w:val="00366D3B"/>
    <w:rsid w:val="003753E1"/>
    <w:rsid w:val="003902C6"/>
    <w:rsid w:val="003B21F7"/>
    <w:rsid w:val="003D5B63"/>
    <w:rsid w:val="003E5BA0"/>
    <w:rsid w:val="00404620"/>
    <w:rsid w:val="00413465"/>
    <w:rsid w:val="00413F3E"/>
    <w:rsid w:val="0042138B"/>
    <w:rsid w:val="00461BBE"/>
    <w:rsid w:val="00472A02"/>
    <w:rsid w:val="0048454C"/>
    <w:rsid w:val="004A3C97"/>
    <w:rsid w:val="004C3E83"/>
    <w:rsid w:val="004D7D96"/>
    <w:rsid w:val="004E214D"/>
    <w:rsid w:val="00520057"/>
    <w:rsid w:val="00534B75"/>
    <w:rsid w:val="00536C91"/>
    <w:rsid w:val="00537827"/>
    <w:rsid w:val="00562BA7"/>
    <w:rsid w:val="00564A3D"/>
    <w:rsid w:val="00572232"/>
    <w:rsid w:val="005A21B9"/>
    <w:rsid w:val="005B7909"/>
    <w:rsid w:val="00602820"/>
    <w:rsid w:val="0061667B"/>
    <w:rsid w:val="006176E1"/>
    <w:rsid w:val="006305C6"/>
    <w:rsid w:val="00653356"/>
    <w:rsid w:val="006767A0"/>
    <w:rsid w:val="006948CB"/>
    <w:rsid w:val="006B40D5"/>
    <w:rsid w:val="006C12B1"/>
    <w:rsid w:val="006F3918"/>
    <w:rsid w:val="006F5517"/>
    <w:rsid w:val="00714DB5"/>
    <w:rsid w:val="00715CAB"/>
    <w:rsid w:val="0078213C"/>
    <w:rsid w:val="00793C9F"/>
    <w:rsid w:val="007D3724"/>
    <w:rsid w:val="008078B9"/>
    <w:rsid w:val="008125BD"/>
    <w:rsid w:val="00847807"/>
    <w:rsid w:val="0089074B"/>
    <w:rsid w:val="008A45CD"/>
    <w:rsid w:val="008B68F8"/>
    <w:rsid w:val="008D775E"/>
    <w:rsid w:val="008D7B0B"/>
    <w:rsid w:val="008E7FFC"/>
    <w:rsid w:val="008F7682"/>
    <w:rsid w:val="0092076A"/>
    <w:rsid w:val="00930771"/>
    <w:rsid w:val="009416C3"/>
    <w:rsid w:val="00950BA8"/>
    <w:rsid w:val="00954EA1"/>
    <w:rsid w:val="00983A63"/>
    <w:rsid w:val="00990A4A"/>
    <w:rsid w:val="009B0626"/>
    <w:rsid w:val="009B60C4"/>
    <w:rsid w:val="009E52F5"/>
    <w:rsid w:val="009F2507"/>
    <w:rsid w:val="009F4771"/>
    <w:rsid w:val="00A20937"/>
    <w:rsid w:val="00A223A2"/>
    <w:rsid w:val="00A32ECD"/>
    <w:rsid w:val="00A41A3D"/>
    <w:rsid w:val="00A45E99"/>
    <w:rsid w:val="00A663FA"/>
    <w:rsid w:val="00A73097"/>
    <w:rsid w:val="00A75136"/>
    <w:rsid w:val="00AC4BFD"/>
    <w:rsid w:val="00AE0D2D"/>
    <w:rsid w:val="00AE6406"/>
    <w:rsid w:val="00AF1AA2"/>
    <w:rsid w:val="00B3096E"/>
    <w:rsid w:val="00B82310"/>
    <w:rsid w:val="00B830DB"/>
    <w:rsid w:val="00B914F4"/>
    <w:rsid w:val="00BD18E1"/>
    <w:rsid w:val="00BF55DA"/>
    <w:rsid w:val="00C17C1E"/>
    <w:rsid w:val="00C307E1"/>
    <w:rsid w:val="00C35BA5"/>
    <w:rsid w:val="00C40806"/>
    <w:rsid w:val="00C45807"/>
    <w:rsid w:val="00C547EB"/>
    <w:rsid w:val="00C962AC"/>
    <w:rsid w:val="00CB1D1F"/>
    <w:rsid w:val="00CB7BB4"/>
    <w:rsid w:val="00D35191"/>
    <w:rsid w:val="00D453C3"/>
    <w:rsid w:val="00D70BE3"/>
    <w:rsid w:val="00D91FAE"/>
    <w:rsid w:val="00D92C3B"/>
    <w:rsid w:val="00DA11AA"/>
    <w:rsid w:val="00DC74F2"/>
    <w:rsid w:val="00DD4C34"/>
    <w:rsid w:val="00DE24D1"/>
    <w:rsid w:val="00DF23AE"/>
    <w:rsid w:val="00E45F5C"/>
    <w:rsid w:val="00EA7AC4"/>
    <w:rsid w:val="00EB388A"/>
    <w:rsid w:val="00EB74A5"/>
    <w:rsid w:val="00EC5143"/>
    <w:rsid w:val="00EE317A"/>
    <w:rsid w:val="00F004FC"/>
    <w:rsid w:val="00F24558"/>
    <w:rsid w:val="00F25FC2"/>
    <w:rsid w:val="00F53E2F"/>
    <w:rsid w:val="00FB1662"/>
    <w:rsid w:val="00FD1908"/>
    <w:rsid w:val="00FD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character" w:styleId="Hyperlink">
    <w:name w:val="Hyperlink"/>
    <w:basedOn w:val="DefaultParagraphFont"/>
    <w:uiPriority w:val="99"/>
    <w:unhideWhenUsed/>
    <w:rsid w:val="00FB1662"/>
    <w:rPr>
      <w:color w:val="0000FF" w:themeColor="hyperlink"/>
      <w:u w:val="single"/>
    </w:rPr>
  </w:style>
  <w:style w:type="paragraph" w:styleId="BalloonText">
    <w:name w:val="Balloon Text"/>
    <w:basedOn w:val="Normal"/>
    <w:link w:val="BalloonTextChar"/>
    <w:uiPriority w:val="99"/>
    <w:semiHidden/>
    <w:unhideWhenUsed/>
    <w:rsid w:val="003502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2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character" w:styleId="Hyperlink">
    <w:name w:val="Hyperlink"/>
    <w:basedOn w:val="DefaultParagraphFont"/>
    <w:uiPriority w:val="99"/>
    <w:unhideWhenUsed/>
    <w:rsid w:val="00FB1662"/>
    <w:rPr>
      <w:color w:val="0000FF" w:themeColor="hyperlink"/>
      <w:u w:val="single"/>
    </w:rPr>
  </w:style>
  <w:style w:type="paragraph" w:styleId="BalloonText">
    <w:name w:val="Balloon Text"/>
    <w:basedOn w:val="Normal"/>
    <w:link w:val="BalloonTextChar"/>
    <w:uiPriority w:val="99"/>
    <w:semiHidden/>
    <w:unhideWhenUsed/>
    <w:rsid w:val="003502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2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usvels.vcaa.vic.edu.au/"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7927-B872-B44C-9C62-A3FF0884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1518</Words>
  <Characters>8653</Characters>
  <Application>Microsoft Macintosh Word</Application>
  <DocSecurity>0</DocSecurity>
  <Lines>72</Lines>
  <Paragraphs>20</Paragraphs>
  <ScaleCrop>false</ScaleCrop>
  <Company>CEO Ballarat</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2012-05-01T07:08:00Z</cp:lastPrinted>
  <dcterms:created xsi:type="dcterms:W3CDTF">2012-06-06T00:38:00Z</dcterms:created>
  <dcterms:modified xsi:type="dcterms:W3CDTF">2012-06-06T00:38:00Z</dcterms:modified>
</cp:coreProperties>
</file>